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600"/>
        <w:jc w:val="center"/>
      </w:pPr>
      <w:r>
        <w:rPr>
          <w:b/>
          <w:bCs/>
          <w:color w:val="C8A24B"/>
          <w:spacing w:val="60"/>
          <w:sz w:val="26"/>
          <w:szCs w:val="26"/>
        </w:rPr>
        <w:t xml:space="preserve">TEMPLATETITANHQ</w:t>
      </w:r>
    </w:p>
    <w:p>
      <w:pPr>
        <w:spacing w:after="0" w:before="600"/>
        <w:jc w:val="center"/>
      </w:pPr>
      <w:r>
        <w:rPr>
          <w:b/>
          <w:bCs/>
          <w:color w:val="1F3A5F"/>
          <w:sz w:val="72"/>
          <w:szCs w:val="72"/>
        </w:rPr>
        <w:t xml:space="preserve">Client Touchpoint</w:t>
      </w:r>
    </w:p>
    <w:p>
      <w:pPr>
        <w:spacing w:after="0" w:before="0"/>
        <w:jc w:val="center"/>
      </w:pPr>
      <w:r>
        <w:rPr>
          <w:b/>
          <w:bCs/>
          <w:color w:val="1F3A5F"/>
          <w:sz w:val="72"/>
          <w:szCs w:val="72"/>
        </w:rPr>
        <w:t xml:space="preserve">Calendar</w:t>
      </w:r>
    </w:p>
    <w:p>
      <w:pPr>
        <w:pBdr>
          <w:bottom w:val="single" w:color="C8A24B" w:sz="8" w:space="6"/>
        </w:pBdr>
        <w:spacing w:after="0" w:before="240"/>
        <w:jc w:val="center"/>
      </w:pPr>
      <w:r>
        <w:rPr>
          <w:i/>
          <w:iCs/>
          <w:color w:val="5A6B7B"/>
          <w:sz w:val="26"/>
          <w:szCs w:val="26"/>
        </w:rPr>
        <w:t xml:space="preserve">Stay top-of-mind all year so renewal is a formality</w:t>
      </w:r>
    </w:p>
    <w:p>
      <w:pPr>
        <w:spacing w:after="0" w:before="500"/>
        <w:jc w:val="center"/>
      </w:pPr>
      <w:r>
        <w:rPr>
          <w:b/>
          <w:bCs/>
          <w:color w:val="1F3A5F"/>
          <w:spacing w:val="40"/>
          <w:sz w:val="24"/>
          <w:szCs w:val="24"/>
        </w:rPr>
        <w:t xml:space="preserve">2026 EDITION</w:t>
      </w:r>
    </w:p>
    <w:p>
      <w:pPr>
        <w:spacing w:after="0" w:before="2200"/>
        <w:jc w:val="center"/>
      </w:pPr>
      <w:r>
        <w:rPr>
          <w:color w:val="5A6B7B"/>
          <w:sz w:val="20"/>
          <w:szCs w:val="20"/>
        </w:rPr>
        <w:t xml:space="preserve">Professional Templates. Zero Guesswork. More Closed Business.</w:t>
      </w:r>
    </w:p>
    <w:p>
      <w:r>
        <w:br w:type="page"/>
      </w:r>
    </w:p>
    <w:p>
      <w:pPr>
        <w:pStyle w:val="Heading1"/>
      </w:pPr>
      <w:r>
        <w:t xml:space="preserve">Start Here</w:t>
      </w:r>
    </w:p>
    <w:p>
      <w:pPr>
        <w:spacing w:after="120"/>
      </w:pPr>
      <w:r>
        <w:rPr>
          <w:color w:val="222222"/>
          <w:sz w:val="22"/>
          <w:szCs w:val="22"/>
        </w:rPr>
        <w:t xml:space="preserve">Most agents only call at renewal. Top agents have a known next touchpoint for every client, all year — so renewal is a formality, not a fight. This calendar turns that into a fill-in-the-blank system.</w:t>
      </w:r>
    </w:p>
    <w:tbl>
      <w:tblPr>
        <w:tblW w:type="dxa" w:w="9360"/>
        <w:tblBorders>
          <w:top w:val="single" w:color="EEF2F6" w:sz="1"/>
          <w:left w:val="single" w:color="C8A24B" w:sz="18"/>
          <w:bottom w:val="single" w:color="EEF2F6" w:sz="1"/>
          <w:right w:val="single" w:color="EEF2F6" w:sz="1"/>
          <w:insideH w:val="single" w:color="auto" w:sz="4"/>
          <w:insideV w:val="single" w:color="auto" w:sz="4"/>
        </w:tblBorders>
      </w:tblPr>
      <w:tblGrid>
        <w:gridCol w:w="9360"/>
      </w:tblGrid>
      <w:tr>
        <w:tc>
          <w:tcPr>
            <w:tcW w:type="dxa" w:w="9360"/>
            <w:shd w:fill="EEF2F6" w:val="clear"/>
            <w:tcMar>
              <w:top w:type="dxa" w:w="140"/>
              <w:left w:type="dxa" w:w="200"/>
              <w:bottom w:type="dxa" w:w="140"/>
              <w:right w:type="dxa" w:w="200"/>
            </w:tcMar>
          </w:tcPr>
          <w:p>
            <w:pPr>
              <w:spacing w:after="80"/>
            </w:pPr>
            <w:r>
              <w:rPr>
                <w:b/>
                <w:bCs/>
                <w:color w:val="1F3A5F"/>
                <w:sz w:val="23"/>
                <w:szCs w:val="23"/>
              </w:rPr>
              <w:t xml:space="preserve">The retention math (why this is the cheapest growth you'll ever buy):</w:t>
            </w:r>
          </w:p>
          <w:p>
            <w:pPr>
              <w:spacing w:after="0"/>
            </w:pPr>
            <w:r>
              <w:rPr>
                <w:b w:val="false"/>
                <w:bCs w:val="false"/>
                <w:color w:val="222222"/>
                <w:sz w:val="22"/>
                <w:szCs w:val="22"/>
              </w:rPr>
              <w:t xml:space="preserve">Three or more meaningful touches a year is the threshold for real retention impact (J.D. Power). Agencies that automate birthday and policy-anniversary touches see roughly +15% more referrals and +18–24% retention (IIABA 2025). Keeping a client = keeping the renewal commission you already earned.</w:t>
            </w:r>
          </w:p>
        </w:tc>
      </w:tr>
    </w:tbl>
    <w:p>
      <w:pPr>
        <w:spacing w:after="120"/>
      </w:pPr>
      <w:r>
        <w:t xml:space="preserve"/>
      </w:r>
    </w:p>
    <w:p>
      <w:pPr>
        <w:pStyle w:val="Heading2"/>
      </w:pPr>
      <w:r>
        <w:t xml:space="preserve">What's inside</w:t>
      </w:r>
    </w:p>
    <w:p>
      <w:pPr>
        <w:pStyle w:val="ListParagraph"/>
        <w:numPr>
          <w:ilvl w:val="0"/>
          <w:numId w:val="2"/>
        </w:numPr>
        <w:spacing w:after="60"/>
      </w:pPr>
      <w:r>
        <w:t xml:space="preserve">The 12-Month Touch Calendar — a month-by-month plan mapped to the Medicare year.</w:t>
      </w:r>
    </w:p>
    <w:p>
      <w:pPr>
        <w:pStyle w:val="ListParagraph"/>
        <w:numPr>
          <w:ilvl w:val="0"/>
          <w:numId w:val="2"/>
        </w:numPr>
        <w:spacing w:after="60"/>
      </w:pPr>
      <w:r>
        <w:t xml:space="preserve">Done-for-you messages for every occasion — birthday, plan anniversary, holiday, seasonal check-in, value touch, pre-AEP heads-up (email and/or text — format varies by occasion).</w:t>
      </w:r>
    </w:p>
    <w:p>
      <w:pPr>
        <w:pStyle w:val="ListParagraph"/>
        <w:numPr>
          <w:ilvl w:val="0"/>
          <w:numId w:val="2"/>
        </w:numPr>
        <w:spacing w:after="60"/>
      </w:pPr>
      <w:r>
        <w:t xml:space="preserve">A simple Touch Tracker — so every household has a known next touchpoint.</w:t>
      </w:r>
    </w:p>
    <w:p>
      <w:pPr>
        <w:spacing w:after="120"/>
      </w:pPr>
      <w:r>
        <w:t xml:space="preserve"/>
      </w:r>
    </w:p>
    <w:p>
      <w:pPr>
        <w:pStyle w:val="Heading2"/>
      </w:pPr>
      <w:r>
        <w:t xml:space="preserve">How to use it (5 minutes, once)</w:t>
      </w:r>
    </w:p>
    <w:p>
      <w:pPr>
        <w:pStyle w:val="ListParagraph"/>
        <w:numPr>
          <w:ilvl w:val="0"/>
          <w:numId w:val="3"/>
        </w:numPr>
        <w:spacing w:after="60"/>
      </w:pPr>
      <w:r>
        <w:t xml:space="preserve">Open in Word or upload to Google Docs. Find-and-replace [BRACKETS] with your info; save as your master.</w:t>
      </w:r>
    </w:p>
    <w:p>
      <w:pPr>
        <w:pStyle w:val="ListParagraph"/>
        <w:numPr>
          <w:ilvl w:val="0"/>
          <w:numId w:val="3"/>
        </w:numPr>
        <w:spacing w:after="60"/>
      </w:pPr>
      <w:r>
        <w:t xml:space="preserve">Each month, open the calendar, copy that month's message, drop in client names, and send.</w:t>
      </w:r>
    </w:p>
    <w:p>
      <w:pPr>
        <w:pStyle w:val="ListParagraph"/>
        <w:numPr>
          <w:ilvl w:val="0"/>
          <w:numId w:val="3"/>
        </w:numPr>
        <w:spacing w:after="60"/>
      </w:pPr>
      <w:r>
        <w:t xml:space="preserve">Log the next touch for each client in the Tracker. That's the whole engine — calendared, not reactive.</w:t>
      </w:r>
    </w:p>
    <w:tbl>
      <w:tblPr>
        <w:tblW w:type="dxa" w:w="9360"/>
        <w:tblBorders>
          <w:top w:val="single" w:color="FBEAEA" w:sz="1"/>
          <w:left w:val="single" w:color="8A2A2A" w:sz="18"/>
          <w:bottom w:val="single" w:color="FBEAEA" w:sz="1"/>
          <w:right w:val="single" w:color="FBEAEA" w:sz="1"/>
          <w:insideH w:val="single" w:color="auto" w:sz="4"/>
          <w:insideV w:val="single" w:color="auto" w:sz="4"/>
        </w:tblBorders>
      </w:tblPr>
      <w:tblGrid>
        <w:gridCol w:w="9360"/>
      </w:tblGrid>
      <w:tr>
        <w:tc>
          <w:tcPr>
            <w:tcW w:type="dxa" w:w="9360"/>
            <w:shd w:fill="FBEAEA" w:val="clear"/>
            <w:tcMar>
              <w:top w:type="dxa" w:w="140"/>
              <w:left w:type="dxa" w:w="200"/>
              <w:bottom w:type="dxa" w:w="140"/>
              <w:right w:type="dxa" w:w="200"/>
            </w:tcMar>
          </w:tcPr>
          <w:p>
            <w:pPr>
              <w:spacing w:after="80"/>
            </w:pPr>
            <w:r>
              <w:rPr>
                <w:b/>
                <w:bCs/>
                <w:color w:val="8A2A2A"/>
                <w:sz w:val="22"/>
                <w:szCs w:val="22"/>
              </w:rPr>
              <w:t xml:space="preserve">Compliance note.</w:t>
            </w:r>
          </w:p>
          <w:p>
            <w:pPr>
              <w:spacing w:after="0"/>
            </w:pPr>
            <w:r>
              <w:rPr>
                <w:b w:val="false"/>
                <w:bCs w:val="false"/>
                <w:color w:val="8A2A2A"/>
                <w:sz w:val="20"/>
                <w:szCs w:val="20"/>
              </w:rPr>
              <w:t xml:space="preserve">Send only to clients who've consented to contact; honor opt-outs immediately (TCPA/CMS). Keep messages relational — no specific plan names, premiums, or benefit claims. Follow CMS rules + get FMO/carrier approval. Not legal/tax/compliance advice.</w:t>
            </w:r>
          </w:p>
        </w:tc>
      </w:tr>
    </w:tbl>
    <w:p>
      <w:r>
        <w:br w:type="page"/>
      </w:r>
    </w:p>
    <w:p>
      <w:pPr>
        <w:pStyle w:val="Heading1"/>
      </w:pPr>
      <w:r>
        <w:t xml:space="preserve">The 12-Month Touch Calendar</w:t>
      </w:r>
    </w:p>
    <w:p>
      <w:pPr>
        <w:spacing w:after="120"/>
      </w:pPr>
      <w:r>
        <w:rPr>
          <w:color w:val="222222"/>
          <w:sz w:val="22"/>
          <w:szCs w:val="22"/>
        </w:rPr>
        <w:t xml:space="preserve">Mapped to the Medicare year. Plus each client's birthday and plan-anniversary touch in their own month.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3500"/>
        <w:gridCol w:w="4160"/>
      </w:tblGrid>
      <w:tr>
        <w:trPr>
          <w:tblHeader/>
        </w:trPr>
        <w:tc>
          <w:tcPr>
            <w:tcW w:type="dxa" w:w="1700"/>
            <w:tcBorders>
              <w:top w:val="single" w:color="CCCCCC" w:sz="1"/>
              <w:left w:val="single" w:color="CCCCCC" w:sz="1"/>
              <w:bottom w:val="single" w:color="CCCCCC" w:sz="1"/>
              <w:right w:val="single" w:color="CCCCCC" w:sz="1"/>
            </w:tcBorders>
            <w:shd w:fill="1F3A5F" w:val="clear"/>
            <w:tcMar>
              <w:top w:type="dxa" w:w="80"/>
              <w:left w:type="dxa" w:w="120"/>
              <w:bottom w:type="dxa" w:w="80"/>
              <w:right w:type="dxa" w:w="120"/>
            </w:tcMar>
          </w:tcPr>
          <w:p>
            <w:r>
              <w:rPr>
                <w:b/>
                <w:bCs/>
                <w:color w:val="FFFFFF"/>
                <w:sz w:val="20"/>
                <w:szCs w:val="20"/>
              </w:rPr>
              <w:t xml:space="preserve">Month</w:t>
            </w:r>
          </w:p>
        </w:tc>
        <w:tc>
          <w:tcPr>
            <w:tcW w:type="dxa" w:w="3500"/>
            <w:tcBorders>
              <w:top w:val="single" w:color="CCCCCC" w:sz="1"/>
              <w:left w:val="single" w:color="CCCCCC" w:sz="1"/>
              <w:bottom w:val="single" w:color="CCCCCC" w:sz="1"/>
              <w:right w:val="single" w:color="CCCCCC" w:sz="1"/>
            </w:tcBorders>
            <w:shd w:fill="1F3A5F" w:val="clear"/>
            <w:tcMar>
              <w:top w:type="dxa" w:w="80"/>
              <w:left w:type="dxa" w:w="120"/>
              <w:bottom w:type="dxa" w:w="80"/>
              <w:right w:type="dxa" w:w="120"/>
            </w:tcMar>
          </w:tcPr>
          <w:p>
            <w:r>
              <w:rPr>
                <w:b/>
                <w:bCs/>
                <w:color w:val="FFFFFF"/>
                <w:sz w:val="20"/>
                <w:szCs w:val="20"/>
              </w:rPr>
              <w:t xml:space="preserve">Touch</w:t>
            </w:r>
          </w:p>
        </w:tc>
        <w:tc>
          <w:tcPr>
            <w:tcW w:type="dxa" w:w="4160"/>
            <w:tcBorders>
              <w:top w:val="single" w:color="CCCCCC" w:sz="1"/>
              <w:left w:val="single" w:color="CCCCCC" w:sz="1"/>
              <w:bottom w:val="single" w:color="CCCCCC" w:sz="1"/>
              <w:right w:val="single" w:color="CCCCCC" w:sz="1"/>
            </w:tcBorders>
            <w:shd w:fill="1F3A5F" w:val="clear"/>
            <w:tcMar>
              <w:top w:type="dxa" w:w="80"/>
              <w:left w:type="dxa" w:w="120"/>
              <w:bottom w:type="dxa" w:w="80"/>
              <w:right w:type="dxa" w:w="120"/>
            </w:tcMar>
          </w:tcPr>
          <w:p>
            <w:r>
              <w:rPr>
                <w:b/>
                <w:bCs/>
                <w:color w:val="FFFFFF"/>
                <w:sz w:val="20"/>
                <w:szCs w:val="20"/>
              </w:rPr>
              <w:t xml:space="preserve">Purpose</w:t>
            </w:r>
          </w:p>
        </w:tc>
      </w:tr>
      <w:tr>
        <w:tc>
          <w:tcPr>
            <w:tcW w:type="dxa" w:w="17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January</w:t>
            </w:r>
          </w:p>
        </w:tc>
        <w:tc>
          <w:tcPr>
            <w:tcW w:type="dxa" w:w="35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“Happy New Plan Year” note</w:t>
            </w:r>
          </w:p>
        </w:tc>
        <w:tc>
          <w:tcPr>
            <w:tcW w:type="dxa" w:w="416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Welcome them into the new year; remind them you're their person</w:t>
            </w:r>
          </w:p>
        </w:tc>
      </w:tr>
      <w:tr>
        <w:tc>
          <w:tcPr>
            <w:tcW w:type="dxa" w:w="17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February</w:t>
            </w:r>
          </w:p>
        </w:tc>
        <w:tc>
          <w:tcPr>
            <w:tcW w:type="dxa" w:w="35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Value touch / quick check-in</w:t>
            </w:r>
          </w:p>
        </w:tc>
        <w:tc>
          <w:tcPr>
            <w:tcW w:type="dxa" w:w="416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Stay warm in a quiet month</w:t>
            </w:r>
          </w:p>
        </w:tc>
      </w:tr>
      <w:tr>
        <w:tc>
          <w:tcPr>
            <w:tcW w:type="dxa" w:w="17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March</w:t>
            </w:r>
          </w:p>
        </w:tc>
        <w:tc>
          <w:tcPr>
            <w:tcW w:type="dxa" w:w="35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“OEP ends 3/31 — all good?” reassurance</w:t>
            </w:r>
          </w:p>
        </w:tc>
        <w:tc>
          <w:tcPr>
            <w:tcW w:type="dxa" w:w="416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Carry new clients past the rapid-disenrollment window</w:t>
            </w:r>
          </w:p>
        </w:tc>
      </w:tr>
      <w:tr>
        <w:tc>
          <w:tcPr>
            <w:tcW w:type="dxa" w:w="17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April</w:t>
            </w:r>
          </w:p>
        </w:tc>
        <w:tc>
          <w:tcPr>
            <w:tcW w:type="dxa" w:w="35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Spring check-in</w:t>
            </w:r>
          </w:p>
        </w:tc>
        <w:tc>
          <w:tcPr>
            <w:tcW w:type="dxa" w:w="416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Confirm nothing's changed with doctors/Rx</w:t>
            </w:r>
          </w:p>
        </w:tc>
      </w:tr>
      <w:tr>
        <w:tc>
          <w:tcPr>
            <w:tcW w:type="dxa" w:w="17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May</w:t>
            </w:r>
          </w:p>
        </w:tc>
        <w:tc>
          <w:tcPr>
            <w:tcW w:type="dxa" w:w="35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Value touch (helpful tip)</w:t>
            </w:r>
          </w:p>
        </w:tc>
        <w:tc>
          <w:tcPr>
            <w:tcW w:type="dxa" w:w="416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Be useful, not just present</w:t>
            </w:r>
          </w:p>
        </w:tc>
      </w:tr>
      <w:tr>
        <w:tc>
          <w:tcPr>
            <w:tcW w:type="dxa" w:w="17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June</w:t>
            </w:r>
          </w:p>
        </w:tc>
        <w:tc>
          <w:tcPr>
            <w:tcW w:type="dxa" w:w="35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Mid-year “just checking in”</w:t>
            </w:r>
          </w:p>
        </w:tc>
        <w:tc>
          <w:tcPr>
            <w:tcW w:type="dxa" w:w="416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The touch almost no other agent makes</w:t>
            </w:r>
          </w:p>
        </w:tc>
      </w:tr>
      <w:tr>
        <w:tc>
          <w:tcPr>
            <w:tcW w:type="dxa" w:w="17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July</w:t>
            </w:r>
          </w:p>
        </w:tc>
        <w:tc>
          <w:tcPr>
            <w:tcW w:type="dxa" w:w="35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Value touch / summer note</w:t>
            </w:r>
          </w:p>
        </w:tc>
        <w:tc>
          <w:tcPr>
            <w:tcW w:type="dxa" w:w="416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Light, friendly, no agenda</w:t>
            </w:r>
          </w:p>
        </w:tc>
      </w:tr>
      <w:tr>
        <w:tc>
          <w:tcPr>
            <w:tcW w:type="dxa" w:w="17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August</w:t>
            </w:r>
          </w:p>
        </w:tc>
        <w:tc>
          <w:tcPr>
            <w:tcW w:type="dxa" w:w="35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Pre-AEP heads-up</w:t>
            </w:r>
          </w:p>
        </w:tc>
        <w:tc>
          <w:tcPr>
            <w:tcW w:type="dxa" w:w="416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Set expectations: “I'll reach out about your review soon”</w:t>
            </w:r>
          </w:p>
        </w:tc>
      </w:tr>
      <w:tr>
        <w:tc>
          <w:tcPr>
            <w:tcW w:type="dxa" w:w="17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September</w:t>
            </w:r>
          </w:p>
        </w:tc>
        <w:tc>
          <w:tcPr>
            <w:tcW w:type="dxa" w:w="35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Book the annual review</w:t>
            </w:r>
          </w:p>
        </w:tc>
        <w:tc>
          <w:tcPr>
            <w:tcW w:type="dxa" w:w="416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Beat the mailers; tie into the Annual Review Kit</w:t>
            </w:r>
          </w:p>
        </w:tc>
      </w:tr>
      <w:tr>
        <w:tc>
          <w:tcPr>
            <w:tcW w:type="dxa" w:w="17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Oct 1 – Dec 7</w:t>
            </w:r>
          </w:p>
        </w:tc>
        <w:tc>
          <w:tcPr>
            <w:tcW w:type="dxa" w:w="35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Annual review season (AEP)</w:t>
            </w:r>
          </w:p>
        </w:tc>
        <w:tc>
          <w:tcPr>
            <w:tcW w:type="dxa" w:w="416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The big one — run reviews, confirm or adjust</w:t>
            </w:r>
          </w:p>
        </w:tc>
      </w:tr>
      <w:tr>
        <w:tc>
          <w:tcPr>
            <w:tcW w:type="dxa" w:w="17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November</w:t>
            </w:r>
          </w:p>
        </w:tc>
        <w:tc>
          <w:tcPr>
            <w:tcW w:type="dxa" w:w="35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Holiday / gratitude note</w:t>
            </w:r>
          </w:p>
        </w:tc>
        <w:tc>
          <w:tcPr>
            <w:tcW w:type="dxa" w:w="416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Goodwill = referrals</w:t>
            </w:r>
          </w:p>
        </w:tc>
      </w:tr>
      <w:tr>
        <w:tc>
          <w:tcPr>
            <w:tcW w:type="dxa" w:w="17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December</w:t>
            </w:r>
          </w:p>
        </w:tc>
        <w:tc>
          <w:tcPr>
            <w:tcW w:type="dxa" w:w="35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Year-end thank you</w:t>
            </w:r>
          </w:p>
        </w:tc>
        <w:tc>
          <w:tcPr>
            <w:tcW w:type="dxa" w:w="416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Close the year warm; tee up January</w:t>
            </w:r>
          </w:p>
        </w:tc>
      </w:tr>
      <w:tr>
        <w:tc>
          <w:tcPr>
            <w:tcW w:type="dxa" w:w="17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Their birthday month</w:t>
            </w:r>
          </w:p>
        </w:tc>
        <w:tc>
          <w:tcPr>
            <w:tcW w:type="dxa" w:w="35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Birthday message (1–2 touches)</w:t>
            </w:r>
          </w:p>
        </w:tc>
        <w:tc>
          <w:tcPr>
            <w:tcW w:type="dxa" w:w="416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Highest-response touch of the year</w:t>
            </w:r>
          </w:p>
        </w:tc>
      </w:tr>
      <w:tr>
        <w:tc>
          <w:tcPr>
            <w:tcW w:type="dxa" w:w="17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Their plan anniversary</w:t>
            </w:r>
          </w:p>
        </w:tc>
        <w:tc>
          <w:tcPr>
            <w:tcW w:type="dxa" w:w="35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Anniversary note</w:t>
            </w:r>
          </w:p>
        </w:tc>
        <w:tc>
          <w:tcPr>
            <w:tcW w:type="dxa" w:w="416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“A year with the right coverage — let's keep it that way”</w:t>
            </w:r>
          </w:p>
        </w:tc>
      </w:tr>
    </w:tbl>
    <w:p>
      <w:r>
        <w:br w:type="page"/>
      </w:r>
    </w:p>
    <w:p>
      <w:pPr>
        <w:pStyle w:val="Heading1"/>
      </w:pPr>
      <w:r>
        <w:t xml:space="preserve">Done-For-You Messages</w:t>
      </w:r>
    </w:p>
    <w:p>
      <w:pPr>
        <w:spacing w:after="120"/>
      </w:pPr>
      <w:r>
        <w:rPr>
          <w:i/>
          <w:iCs/>
          <w:color w:val="5A6B7B"/>
          <w:sz w:val="22"/>
          <w:szCs w:val="22"/>
        </w:rPr>
        <w:t xml:space="preserve">Copy, drop in the name, send. Keep them relational — never a plan pitch.</w:t>
      </w:r>
    </w:p>
    <w:p>
      <w:pPr>
        <w:pStyle w:val="Heading2"/>
      </w:pPr>
      <w:r>
        <w:t xml:space="preserve">Birthday</w:t>
      </w:r>
    </w:p>
    <w:p>
      <w:pPr>
        <w:spacing w:after="6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BIRTHDAY — text / email</w:t>
            </w:r>
          </w:p>
        </w:tc>
      </w:tr>
      <w:tr>
        <w:tc>
          <w:tcPr>
            <w:tcW w:type="dxa" w:w="9360"/>
            <w:tcMar>
              <w:top w:type="dxa" w:w="120"/>
              <w:left w:type="dxa" w:w="160"/>
              <w:bottom w:type="dxa" w:w="120"/>
              <w:right w:type="dxa" w:w="160"/>
            </w:tcMar>
          </w:tcPr>
          <w:p>
            <w:pPr>
              <w:spacing w:after="0"/>
            </w:pPr>
            <w:r>
              <w:rPr>
                <w:color w:val="222222"/>
                <w:sz w:val="22"/>
                <w:szCs w:val="22"/>
              </w:rPr>
              <w:t xml:space="preserve">Happy Birthday, [First Name]! 🎉 Just wanted to take a second to celebrate you today. It's a pleasure being your Medicare agent — and as always, I'm here if you ever need anything. Enjoy your day! — [Agent Name]</w:t>
            </w:r>
          </w:p>
        </w:tc>
      </w:tr>
    </w:tbl>
    <w:p>
      <w:pPr>
        <w:spacing w:after="120"/>
      </w:pPr>
      <w:r>
        <w:t xml:space="preserve"/>
      </w:r>
    </w:p>
    <w:p>
      <w:pPr>
        <w:pStyle w:val="Heading2"/>
      </w:pPr>
      <w:r>
        <w:t xml:space="preserve">Plan Anniversary</w:t>
      </w:r>
    </w:p>
    <w:p>
      <w:pPr>
        <w:spacing w:after="6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ANNIVERSARY — text / email</w:t>
            </w:r>
          </w:p>
        </w:tc>
      </w:tr>
      <w:tr>
        <w:tc>
          <w:tcPr>
            <w:tcW w:type="dxa" w:w="9360"/>
            <w:tcMar>
              <w:top w:type="dxa" w:w="120"/>
              <w:left w:type="dxa" w:w="160"/>
              <w:bottom w:type="dxa" w:w="120"/>
              <w:right w:type="dxa" w:w="160"/>
            </w:tcMar>
          </w:tcPr>
          <w:p>
            <w:pPr>
              <w:spacing w:after="0"/>
            </w:pPr>
            <w:r>
              <w:rPr>
                <w:color w:val="222222"/>
                <w:sz w:val="22"/>
                <w:szCs w:val="22"/>
              </w:rPr>
              <w:t xml:space="preserve">Hi [First Name] — it's been a year since we got your coverage squared away! Time flies. I'll be reaching out before renewal to make sure everything still fits, but in the meantime, you know where to find me. Thanks for trusting me with this. — [Agent Name]</w:t>
            </w:r>
          </w:p>
        </w:tc>
      </w:tr>
    </w:tbl>
    <w:p>
      <w:pPr>
        <w:spacing w:after="120"/>
      </w:pPr>
      <w:r>
        <w:t xml:space="preserve"/>
      </w:r>
    </w:p>
    <w:p>
      <w:pPr>
        <w:pStyle w:val="Heading2"/>
      </w:pPr>
      <w:r>
        <w:t xml:space="preserve">Holiday / Gratitude</w:t>
      </w:r>
    </w:p>
    <w:p>
      <w:pPr>
        <w:spacing w:after="6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HOLIDAY — text / email</w:t>
            </w:r>
          </w:p>
        </w:tc>
      </w:tr>
      <w:tr>
        <w:tc>
          <w:tcPr>
            <w:tcW w:type="dxa" w:w="9360"/>
            <w:tcMar>
              <w:top w:type="dxa" w:w="120"/>
              <w:left w:type="dxa" w:w="160"/>
              <w:bottom w:type="dxa" w:w="120"/>
              <w:right w:type="dxa" w:w="160"/>
            </w:tcMar>
          </w:tcPr>
          <w:p>
            <w:pPr>
              <w:spacing w:after="0"/>
            </w:pPr>
            <w:r>
              <w:rPr>
                <w:color w:val="222222"/>
                <w:sz w:val="22"/>
                <w:szCs w:val="22"/>
              </w:rPr>
              <w:t xml:space="preserve">Hi [First Name], as the year winds down I just wanted to say thank you for letting me be your Medicare agent. It genuinely means a lot. Wishing you and your family a warm and healthy holiday season. — [Agent Name]</w:t>
            </w:r>
          </w:p>
        </w:tc>
      </w:tr>
    </w:tbl>
    <w:p>
      <w:pPr>
        <w:spacing w:after="120"/>
      </w:pPr>
      <w:r>
        <w:t xml:space="preserve"/>
      </w:r>
    </w:p>
    <w:p>
      <w:pPr>
        <w:pStyle w:val="Heading2"/>
      </w:pPr>
      <w:r>
        <w:t xml:space="preserve">Seasonal / Value Touch</w:t>
      </w:r>
    </w:p>
    <w:p>
      <w:pPr>
        <w:spacing w:after="6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VALUE TOUCH — text / email</w:t>
            </w:r>
          </w:p>
        </w:tc>
      </w:tr>
      <w:tr>
        <w:tc>
          <w:tcPr>
            <w:tcW w:type="dxa" w:w="9360"/>
            <w:tcMar>
              <w:top w:type="dxa" w:w="120"/>
              <w:left w:type="dxa" w:w="160"/>
              <w:bottom w:type="dxa" w:w="120"/>
              <w:right w:type="dxa" w:w="160"/>
            </w:tcMar>
          </w:tcPr>
          <w:p>
            <w:pPr>
              <w:spacing w:after="0"/>
            </w:pPr>
            <w:r>
              <w:rPr>
                <w:color w:val="222222"/>
                <w:sz w:val="22"/>
                <w:szCs w:val="22"/>
              </w:rPr>
              <w:t xml:space="preserve">Hi [First Name], no agenda here — just your yearly reminder that I'm in your corner for anything Medicare. New prescription, a confusing bill, a doctor question? Call me first and I'll help you sort it. — [Agent Name] · [Phone]</w:t>
            </w:r>
          </w:p>
        </w:tc>
      </w:tr>
    </w:tbl>
    <w:p>
      <w:pPr>
        <w:spacing w:after="120"/>
      </w:pPr>
      <w:r>
        <w:t xml:space="preserve"/>
      </w:r>
    </w:p>
    <w:p>
      <w:pPr>
        <w:pStyle w:val="Heading2"/>
      </w:pPr>
      <w:r>
        <w:t xml:space="preserve">Mid-Year Check-In</w:t>
      </w:r>
    </w:p>
    <w:p>
      <w:pPr>
        <w:spacing w:after="6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MID-YEAR — text</w:t>
            </w:r>
          </w:p>
        </w:tc>
      </w:tr>
      <w:tr>
        <w:tc>
          <w:tcPr>
            <w:tcW w:type="dxa" w:w="9360"/>
            <w:tcMar>
              <w:top w:type="dxa" w:w="120"/>
              <w:left w:type="dxa" w:w="160"/>
              <w:bottom w:type="dxa" w:w="120"/>
              <w:right w:type="dxa" w:w="160"/>
            </w:tcMar>
          </w:tcPr>
          <w:p>
            <w:pPr>
              <w:spacing w:after="0"/>
            </w:pPr>
            <w:r>
              <w:rPr>
                <w:color w:val="222222"/>
                <w:sz w:val="22"/>
                <w:szCs w:val="22"/>
              </w:rPr>
              <w:t xml:space="preserve">Hi [First Name], [Agent Name] checking in — everything still working well with your plan, doctors, and pharmacy? If anything's come up, just reply or call. Here to help. — [Phone]</w:t>
            </w:r>
          </w:p>
        </w:tc>
      </w:tr>
    </w:tbl>
    <w:p>
      <w:pPr>
        <w:spacing w:after="120"/>
      </w:pPr>
      <w:r>
        <w:t xml:space="preserve"/>
      </w:r>
    </w:p>
    <w:p>
      <w:pPr>
        <w:pStyle w:val="Heading2"/>
      </w:pPr>
      <w:r>
        <w:t xml:space="preserve">Pre-AEP Heads-Up</w:t>
      </w:r>
    </w:p>
    <w:p>
      <w:pPr>
        <w:spacing w:after="6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PRE-AEP — email</w:t>
            </w:r>
          </w:p>
        </w:tc>
      </w:tr>
      <w:tr>
        <w:tc>
          <w:tcPr>
            <w:tcW w:type="dxa" w:w="9360"/>
            <w:tcMar>
              <w:top w:type="dxa" w:w="120"/>
              <w:left w:type="dxa" w:w="160"/>
              <w:bottom w:type="dxa" w:w="120"/>
              <w:right w:type="dxa" w:w="160"/>
            </w:tcMar>
          </w:tcPr>
          <w:p>
            <w:pPr>
              <w:spacing w:after="80"/>
            </w:pPr>
            <w:r>
              <w:rPr>
                <w:color w:val="222222"/>
                <w:sz w:val="22"/>
                <w:szCs w:val="22"/>
              </w:rPr>
              <w:t xml:space="preserve">Subject: Quick heads-up about your yearly Medicare review</w:t>
            </w:r>
          </w:p>
          <w:p>
            <w:pPr>
              <w:spacing w:after="80"/>
            </w:pPr>
            <w:r>
              <w:rPr>
                <w:color w:val="222222"/>
                <w:sz w:val="22"/>
                <w:szCs w:val="22"/>
              </w:rPr>
              <w:t xml:space="preserve"/>
            </w:r>
          </w:p>
          <w:p>
            <w:pPr>
              <w:spacing w:after="0"/>
            </w:pPr>
            <w:r>
              <w:rPr>
                <w:color w:val="222222"/>
                <w:sz w:val="22"/>
                <w:szCs w:val="22"/>
              </w:rPr>
              <w:t xml:space="preserve">Hi [First Name], a friendly heads-up: review season is coming up, and I'll be reaching out to go over your plan and make sure it still fits you for next year — before anything renews. No action needed yet; just know it's on my radar so you don't have to worry about it. Talk soon! — [Agent Name]</w:t>
            </w:r>
          </w:p>
        </w:tc>
      </w:tr>
    </w:tbl>
    <w:p>
      <w:r>
        <w:br w:type="page"/>
      </w:r>
    </w:p>
    <w:p>
      <w:pPr>
        <w:pStyle w:val="Heading1"/>
      </w:pPr>
      <w:r>
        <w:t xml:space="preserve">Touch Tracker</w:t>
      </w:r>
    </w:p>
    <w:p>
      <w:pPr>
        <w:spacing w:after="120"/>
      </w:pPr>
      <w:r>
        <w:rPr>
          <w:i/>
          <w:iCs/>
          <w:color w:val="5A6B7B"/>
          <w:sz w:val="20"/>
          <w:szCs w:val="20"/>
        </w:rPr>
        <w:t xml:space="preserve">Every household gets a known next touchpoint. Update it as you go — calendared, not reactive.</w:t>
      </w:r>
    </w:p>
    <w:p>
      <w:pPr>
        <w:spacing w:after="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200"/>
        <w:gridCol w:w="1200"/>
        <w:gridCol w:w="1200"/>
        <w:gridCol w:w="2960"/>
        <w:gridCol w:w="600"/>
      </w:tblGrid>
      <w:tr>
        <w:trPr>
          <w:tblHeader/>
        </w:trPr>
        <w:tc>
          <w:tcPr>
            <w:tcW w:type="dxa" w:w="2200"/>
            <w:tcBorders>
              <w:top w:val="single" w:color="CCCCCC" w:sz="1"/>
              <w:left w:val="single" w:color="CCCCCC" w:sz="1"/>
              <w:bottom w:val="single" w:color="CCCCCC" w:sz="1"/>
              <w:right w:val="single" w:color="CCCCCC" w:sz="1"/>
            </w:tcBorders>
            <w:shd w:fill="1F3A5F" w:val="clear"/>
            <w:tcMar>
              <w:top w:type="dxa" w:w="80"/>
              <w:left w:type="dxa" w:w="120"/>
              <w:bottom w:type="dxa" w:w="80"/>
              <w:right w:type="dxa" w:w="120"/>
            </w:tcMar>
          </w:tcPr>
          <w:p>
            <w:r>
              <w:rPr>
                <w:b/>
                <w:bCs/>
                <w:color w:val="FFFFFF"/>
                <w:sz w:val="20"/>
                <w:szCs w:val="20"/>
              </w:rPr>
              <w:t xml:space="preserve">Client</w:t>
            </w:r>
          </w:p>
        </w:tc>
        <w:tc>
          <w:tcPr>
            <w:tcW w:type="dxa" w:w="1200"/>
            <w:tcBorders>
              <w:top w:val="single" w:color="CCCCCC" w:sz="1"/>
              <w:left w:val="single" w:color="CCCCCC" w:sz="1"/>
              <w:bottom w:val="single" w:color="CCCCCC" w:sz="1"/>
              <w:right w:val="single" w:color="CCCCCC" w:sz="1"/>
            </w:tcBorders>
            <w:shd w:fill="1F3A5F" w:val="clear"/>
            <w:tcMar>
              <w:top w:type="dxa" w:w="80"/>
              <w:left w:type="dxa" w:w="120"/>
              <w:bottom w:type="dxa" w:w="80"/>
              <w:right w:type="dxa" w:w="120"/>
            </w:tcMar>
          </w:tcPr>
          <w:p>
            <w:r>
              <w:rPr>
                <w:b/>
                <w:bCs/>
                <w:color w:val="FFFFFF"/>
                <w:sz w:val="20"/>
                <w:szCs w:val="20"/>
              </w:rPr>
              <w:t xml:space="preserve">Birthday</w:t>
            </w:r>
          </w:p>
        </w:tc>
        <w:tc>
          <w:tcPr>
            <w:tcW w:type="dxa" w:w="1200"/>
            <w:tcBorders>
              <w:top w:val="single" w:color="CCCCCC" w:sz="1"/>
              <w:left w:val="single" w:color="CCCCCC" w:sz="1"/>
              <w:bottom w:val="single" w:color="CCCCCC" w:sz="1"/>
              <w:right w:val="single" w:color="CCCCCC" w:sz="1"/>
            </w:tcBorders>
            <w:shd w:fill="1F3A5F" w:val="clear"/>
            <w:tcMar>
              <w:top w:type="dxa" w:w="80"/>
              <w:left w:type="dxa" w:w="120"/>
              <w:bottom w:type="dxa" w:w="80"/>
              <w:right w:type="dxa" w:w="120"/>
            </w:tcMar>
          </w:tcPr>
          <w:p>
            <w:r>
              <w:rPr>
                <w:b/>
                <w:bCs/>
                <w:color w:val="FFFFFF"/>
                <w:sz w:val="20"/>
                <w:szCs w:val="20"/>
              </w:rPr>
              <w:t xml:space="preserve">Plan anniv.</w:t>
            </w:r>
          </w:p>
        </w:tc>
        <w:tc>
          <w:tcPr>
            <w:tcW w:type="dxa" w:w="1200"/>
            <w:tcBorders>
              <w:top w:val="single" w:color="CCCCCC" w:sz="1"/>
              <w:left w:val="single" w:color="CCCCCC" w:sz="1"/>
              <w:bottom w:val="single" w:color="CCCCCC" w:sz="1"/>
              <w:right w:val="single" w:color="CCCCCC" w:sz="1"/>
            </w:tcBorders>
            <w:shd w:fill="1F3A5F" w:val="clear"/>
            <w:tcMar>
              <w:top w:type="dxa" w:w="80"/>
              <w:left w:type="dxa" w:w="120"/>
              <w:bottom w:type="dxa" w:w="80"/>
              <w:right w:type="dxa" w:w="120"/>
            </w:tcMar>
          </w:tcPr>
          <w:p>
            <w:r>
              <w:rPr>
                <w:b/>
                <w:bCs/>
                <w:color w:val="FFFFFF"/>
                <w:sz w:val="20"/>
                <w:szCs w:val="20"/>
              </w:rPr>
              <w:t xml:space="preserve">Last touch</w:t>
            </w:r>
          </w:p>
        </w:tc>
        <w:tc>
          <w:tcPr>
            <w:tcW w:type="dxa" w:w="2960"/>
            <w:tcBorders>
              <w:top w:val="single" w:color="CCCCCC" w:sz="1"/>
              <w:left w:val="single" w:color="CCCCCC" w:sz="1"/>
              <w:bottom w:val="single" w:color="CCCCCC" w:sz="1"/>
              <w:right w:val="single" w:color="CCCCCC" w:sz="1"/>
            </w:tcBorders>
            <w:shd w:fill="1F3A5F" w:val="clear"/>
            <w:tcMar>
              <w:top w:type="dxa" w:w="80"/>
              <w:left w:type="dxa" w:w="120"/>
              <w:bottom w:type="dxa" w:w="80"/>
              <w:right w:type="dxa" w:w="120"/>
            </w:tcMar>
          </w:tcPr>
          <w:p>
            <w:r>
              <w:rPr>
                <w:b/>
                <w:bCs/>
                <w:color w:val="FFFFFF"/>
                <w:sz w:val="20"/>
                <w:szCs w:val="20"/>
              </w:rPr>
              <w:t xml:space="preserve">Next touch (date + type)</w:t>
            </w:r>
          </w:p>
        </w:tc>
        <w:tc>
          <w:tcPr>
            <w:tcW w:type="dxa" w:w="600"/>
            <w:tcBorders>
              <w:top w:val="single" w:color="CCCCCC" w:sz="1"/>
              <w:left w:val="single" w:color="CCCCCC" w:sz="1"/>
              <w:bottom w:val="single" w:color="CCCCCC" w:sz="1"/>
              <w:right w:val="single" w:color="CCCCCC" w:sz="1"/>
            </w:tcBorders>
            <w:shd w:fill="1F3A5F" w:val="clear"/>
            <w:tcMar>
              <w:top w:type="dxa" w:w="80"/>
              <w:left w:type="dxa" w:w="120"/>
              <w:bottom w:type="dxa" w:w="80"/>
              <w:right w:type="dxa" w:w="120"/>
            </w:tcMar>
          </w:tcPr>
          <w:p>
            <w:r>
              <w:rPr>
                <w:b/>
                <w:bCs/>
                <w:color w:val="FFFFFF"/>
                <w:sz w:val="20"/>
                <w:szCs w:val="20"/>
              </w:rPr>
              <w:t xml:space="preserve">✔</w:t>
            </w:r>
          </w:p>
        </w:tc>
      </w:tr>
      <w:tr>
        <w:tc>
          <w:tcPr>
            <w:tcW w:type="dxa" w:w="22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[Name]</w:t>
            </w:r>
          </w:p>
        </w:tc>
        <w:tc>
          <w:tcPr>
            <w:tcW w:type="dxa" w:w="12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 ]</w:t>
            </w:r>
          </w:p>
        </w:tc>
        <w:tc>
          <w:tcPr>
            <w:tcW w:type="dxa" w:w="12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 ]</w:t>
            </w:r>
          </w:p>
        </w:tc>
        <w:tc>
          <w:tcPr>
            <w:tcW w:type="dxa" w:w="12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c>
          <w:tcPr>
            <w:tcW w:type="dxa" w:w="296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c>
          <w:tcPr>
            <w:tcW w:type="dxa" w:w="6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r>
      <w:tr>
        <w:tc>
          <w:tcPr>
            <w:tcW w:type="dxa" w:w="22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[Name]</w:t>
            </w:r>
          </w:p>
        </w:tc>
        <w:tc>
          <w:tcPr>
            <w:tcW w:type="dxa" w:w="12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 ]</w:t>
            </w:r>
          </w:p>
        </w:tc>
        <w:tc>
          <w:tcPr>
            <w:tcW w:type="dxa" w:w="12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 ]</w:t>
            </w:r>
          </w:p>
        </w:tc>
        <w:tc>
          <w:tcPr>
            <w:tcW w:type="dxa" w:w="12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c>
          <w:tcPr>
            <w:tcW w:type="dxa" w:w="296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c>
          <w:tcPr>
            <w:tcW w:type="dxa" w:w="6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r>
      <w:tr>
        <w:tc>
          <w:tcPr>
            <w:tcW w:type="dxa" w:w="22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[Name]</w:t>
            </w:r>
          </w:p>
        </w:tc>
        <w:tc>
          <w:tcPr>
            <w:tcW w:type="dxa" w:w="12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 ]</w:t>
            </w:r>
          </w:p>
        </w:tc>
        <w:tc>
          <w:tcPr>
            <w:tcW w:type="dxa" w:w="12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 ]</w:t>
            </w:r>
          </w:p>
        </w:tc>
        <w:tc>
          <w:tcPr>
            <w:tcW w:type="dxa" w:w="12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c>
          <w:tcPr>
            <w:tcW w:type="dxa" w:w="296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c>
          <w:tcPr>
            <w:tcW w:type="dxa" w:w="6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r>
      <w:tr>
        <w:tc>
          <w:tcPr>
            <w:tcW w:type="dxa" w:w="22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[Name]</w:t>
            </w:r>
          </w:p>
        </w:tc>
        <w:tc>
          <w:tcPr>
            <w:tcW w:type="dxa" w:w="12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 ]</w:t>
            </w:r>
          </w:p>
        </w:tc>
        <w:tc>
          <w:tcPr>
            <w:tcW w:type="dxa" w:w="12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 ]</w:t>
            </w:r>
          </w:p>
        </w:tc>
        <w:tc>
          <w:tcPr>
            <w:tcW w:type="dxa" w:w="12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c>
          <w:tcPr>
            <w:tcW w:type="dxa" w:w="296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c>
          <w:tcPr>
            <w:tcW w:type="dxa" w:w="6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r>
      <w:tr>
        <w:tc>
          <w:tcPr>
            <w:tcW w:type="dxa" w:w="22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[Name]</w:t>
            </w:r>
          </w:p>
        </w:tc>
        <w:tc>
          <w:tcPr>
            <w:tcW w:type="dxa" w:w="12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 ]</w:t>
            </w:r>
          </w:p>
        </w:tc>
        <w:tc>
          <w:tcPr>
            <w:tcW w:type="dxa" w:w="12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 ]</w:t>
            </w:r>
          </w:p>
        </w:tc>
        <w:tc>
          <w:tcPr>
            <w:tcW w:type="dxa" w:w="12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c>
          <w:tcPr>
            <w:tcW w:type="dxa" w:w="296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c>
          <w:tcPr>
            <w:tcW w:type="dxa" w:w="6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r>
      <w:tr>
        <w:tc>
          <w:tcPr>
            <w:tcW w:type="dxa" w:w="22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[Name]</w:t>
            </w:r>
          </w:p>
        </w:tc>
        <w:tc>
          <w:tcPr>
            <w:tcW w:type="dxa" w:w="12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 ]</w:t>
            </w:r>
          </w:p>
        </w:tc>
        <w:tc>
          <w:tcPr>
            <w:tcW w:type="dxa" w:w="12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 ]</w:t>
            </w:r>
          </w:p>
        </w:tc>
        <w:tc>
          <w:tcPr>
            <w:tcW w:type="dxa" w:w="12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c>
          <w:tcPr>
            <w:tcW w:type="dxa" w:w="296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c>
          <w:tcPr>
            <w:tcW w:type="dxa" w:w="6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r>
      <w:tr>
        <w:tc>
          <w:tcPr>
            <w:tcW w:type="dxa" w:w="22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[Name]</w:t>
            </w:r>
          </w:p>
        </w:tc>
        <w:tc>
          <w:tcPr>
            <w:tcW w:type="dxa" w:w="12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 ]</w:t>
            </w:r>
          </w:p>
        </w:tc>
        <w:tc>
          <w:tcPr>
            <w:tcW w:type="dxa" w:w="12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 ]</w:t>
            </w:r>
          </w:p>
        </w:tc>
        <w:tc>
          <w:tcPr>
            <w:tcW w:type="dxa" w:w="12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c>
          <w:tcPr>
            <w:tcW w:type="dxa" w:w="296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c>
          <w:tcPr>
            <w:tcW w:type="dxa" w:w="600"/>
            <w:tcBorders>
              <w:top w:val="single" w:color="CCCCCC" w:sz="1"/>
              <w:left w:val="single" w:color="CCCCCC" w:sz="1"/>
              <w:bottom w:val="single" w:color="CCCCCC" w:sz="1"/>
              <w:right w:val="single" w:color="CCCCCC" w:sz="1"/>
            </w:tcBorders>
            <w:shd w:fill="FFFFFF" w:val="clear"/>
            <w:tcMar>
              <w:top w:type="dxa" w:w="70"/>
              <w:left w:type="dxa" w:w="120"/>
              <w:bottom w:type="dxa" w:w="70"/>
              <w:right w:type="dxa" w:w="120"/>
            </w:tcMar>
          </w:tcPr>
          <w:p>
            <w:r>
              <w:rPr>
                <w:color w:val="222222"/>
                <w:sz w:val="20"/>
                <w:szCs w:val="20"/>
              </w:rPr>
              <w:t xml:space="preserve">[ ]</w:t>
            </w:r>
          </w:p>
        </w:tc>
      </w:tr>
      <w:tr>
        <w:tc>
          <w:tcPr>
            <w:tcW w:type="dxa" w:w="22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[Name]</w:t>
            </w:r>
          </w:p>
        </w:tc>
        <w:tc>
          <w:tcPr>
            <w:tcW w:type="dxa" w:w="12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 ]</w:t>
            </w:r>
          </w:p>
        </w:tc>
        <w:tc>
          <w:tcPr>
            <w:tcW w:type="dxa" w:w="12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 ]</w:t>
            </w:r>
          </w:p>
        </w:tc>
        <w:tc>
          <w:tcPr>
            <w:tcW w:type="dxa" w:w="12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c>
          <w:tcPr>
            <w:tcW w:type="dxa" w:w="296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c>
          <w:tcPr>
            <w:tcW w:type="dxa" w:w="600"/>
            <w:tcBorders>
              <w:top w:val="single" w:color="CCCCCC" w:sz="1"/>
              <w:left w:val="single" w:color="CCCCCC" w:sz="1"/>
              <w:bottom w:val="single" w:color="CCCCCC" w:sz="1"/>
              <w:right w:val="single" w:color="CCCCCC" w:sz="1"/>
            </w:tcBorders>
            <w:shd w:fill="F6F8FA" w:val="clear"/>
            <w:tcMar>
              <w:top w:type="dxa" w:w="70"/>
              <w:left w:type="dxa" w:w="120"/>
              <w:bottom w:type="dxa" w:w="70"/>
              <w:right w:type="dxa" w:w="120"/>
            </w:tcMar>
          </w:tcPr>
          <w:p>
            <w:r>
              <w:rPr>
                <w:color w:val="222222"/>
                <w:sz w:val="20"/>
                <w:szCs w:val="20"/>
              </w:rPr>
              <w:t xml:space="preserve">[ ]</w:t>
            </w:r>
          </w:p>
        </w:tc>
      </w:tr>
    </w:tbl>
    <w:p>
      <w:pPr>
        <w:spacing w:after="120"/>
      </w:pPr>
      <w:r>
        <w:t xml:space="preserve"/>
      </w:r>
    </w:p>
    <w:p>
      <w:pPr>
        <w:spacing w:after="120"/>
      </w:pPr>
      <w:r>
        <w:rPr>
          <w:i/>
          <w:iCs/>
          <w:color w:val="5A6B7B"/>
          <w:sz w:val="20"/>
          <w:szCs w:val="20"/>
        </w:rPr>
        <w:t xml:space="preserve">Tip: keep the full version in your CRM — pairs with our Medicare Agent CRM + OS and Client Retention Tracker.</w:t>
      </w:r>
    </w:p>
    <w:p>
      <w:pPr>
        <w:spacing w:after="120"/>
      </w:pPr>
      <w:r>
        <w:t xml:space="preserve"/>
      </w:r>
    </w:p>
    <w:p>
      <w:pPr>
        <w:pBdr>
          <w:bottom w:val="single" w:color="C8A24B" w:sz="6" w:space="1"/>
        </w:pBdr>
        <w:spacing w:after="120"/>
      </w:pPr>
      <w:r>
        <w:t xml:space="preserve"/>
      </w:r>
    </w:p>
    <w:p>
      <w:pPr>
        <w:spacing w:after="120"/>
        <w:jc w:val="center"/>
      </w:pPr>
      <w:r>
        <w:rPr>
          <w:b/>
          <w:bCs/>
          <w:color w:val="1F3A5F"/>
          <w:sz w:val="22"/>
          <w:szCs w:val="22"/>
        </w:rPr>
        <w:t xml:space="preserve">More tools for agents at TemplateTitanHQ</w:t>
      </w:r>
    </w:p>
    <w:p>
      <w:pPr>
        <w:spacing w:after="120"/>
        <w:jc w:val="center"/>
      </w:pPr>
      <w:r>
        <w:rPr>
          <w:color w:val="5A6B7B"/>
          <w:sz w:val="20"/>
          <w:szCs w:val="20"/>
        </w:rPr>
        <w:t xml:space="preserve">Annual Review Kit · New-Client Welcome Packet · Client Retention Tracker · Agent CRM + OS</w:t>
      </w:r>
    </w:p>
    <w:p>
      <w:pPr>
        <w:spacing w:after="120"/>
        <w:jc w:val="center"/>
      </w:pPr>
      <w:r>
        <w:rPr>
          <w:i/>
          <w:iCs/>
          <w:color w:val="C8A24B"/>
          <w:sz w:val="20"/>
          <w:szCs w:val="20"/>
        </w:rPr>
        <w:t xml:space="preserve">templatetitanhq.etsy.com</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jc w:val="center"/>
    </w:pPr>
    <w:r>
      <w:rPr>
        <w:color w:val="5A6B7B"/>
        <w:sz w:val="16"/>
        <w:szCs w:val="16"/>
      </w:rPr>
      <w:t xml:space="preserve">Client Touchpoint Calendar 2026  ·  TemplateTitanHQ  ·  Page </w:t>
    </w:r>
    <w:r>
      <w:rPr>
        <w:color w:val="5A6B7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abstractNum>
  <w:abstractNum w:abstractNumId="3" w15:restartNumberingAfterBreak="0">
    <w:multiLevelType w:val="hybridMultilevel"/>
    <w:lvl w:ilvl="0" w15:tentative="1">
      <w:start w:val="1"/>
      <w:numFmt w:val="decimal"/>
      <w:lvlText w:val="%1."/>
      <w:lvlJc w:val="left"/>
      <w:pPr>
        <w:ind w:left="560" w:hanging="300"/>
      </w:pPr>
    </w:lvl>
  </w:abstractNum>
  <w:abstractNum w:abstractNumId="4" w15:restartNumberingAfterBreak="0">
    <w:multiLevelType w:val="hybridMultilevel"/>
    <w:lvl w:ilvl="0" w15:tentative="1">
      <w:start w:val="1"/>
      <w:numFmt w:val="decimal"/>
      <w:lvlText w:val="%1."/>
      <w:lvlJc w:val="left"/>
      <w:pPr>
        <w:ind w:left="560" w:hanging="300"/>
      </w:pPr>
    </w:lvl>
  </w:abstractNum>
  <w:abstractNum w:abstractNumId="5" w15:restartNumberingAfterBreak="0">
    <w:multiLevelType w:val="hybridMultilevel"/>
    <w:lvl w:ilvl="0" w15:tentative="1">
      <w:start w:val="1"/>
      <w:numFmt w:val="decimal"/>
      <w:lvlText w:val="%1."/>
      <w:lvlJc w:val="left"/>
      <w:pPr>
        <w:ind w:left="5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C8A24B" w:sz="6" w:space="4"/>
      </w:pBdr>
      <w:spacing w:after="160" w:before="120"/>
      <w:outlineLvl w:val="0"/>
    </w:pPr>
    <w:rPr>
      <w:rFonts w:ascii="Calibri" w:cs="Calibri" w:eastAsia="Calibri" w:hAnsi="Calibri"/>
      <w:b/>
      <w:bCs/>
      <w:color w:val="1F3A5F"/>
      <w:sz w:val="36"/>
      <w:szCs w:val="36"/>
    </w:rPr>
  </w:style>
  <w:style w:type="paragraph" w:styleId="Heading2">
    <w:name w:val="Heading 2"/>
    <w:basedOn w:val="Normal"/>
    <w:next w:val="Normal"/>
    <w:qFormat/>
    <w:pPr>
      <w:spacing w:after="100" w:before="200"/>
      <w:outlineLvl w:val="1"/>
    </w:pPr>
    <w:rPr>
      <w:rFonts w:ascii="Calibri" w:cs="Calibri" w:eastAsia="Calibri" w:hAnsi="Calibri"/>
      <w:b/>
      <w:bCs/>
      <w:color w:val="1F3A5F"/>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Touchpoint Calendar 2026</dc:title>
  <dc:creator>TemplateTitanHQ</dc:creator>
  <dc:description>Stay top-of-mind all year so renewal is a formality</dc:description>
  <cp:lastModifiedBy>Un-named</cp:lastModifiedBy>
  <cp:revision>1</cp:revision>
  <dcterms:created xsi:type="dcterms:W3CDTF">2026-08-02T23:11:20.506Z</dcterms:created>
  <dcterms:modified xsi:type="dcterms:W3CDTF">2026-08-02T23:11:20.507Z</dcterms:modified>
</cp:coreProperties>
</file>

<file path=docProps/custom.xml><?xml version="1.0" encoding="utf-8"?>
<Properties xmlns="http://schemas.openxmlformats.org/officeDocument/2006/custom-properties" xmlns:vt="http://schemas.openxmlformats.org/officeDocument/2006/docPropsVTypes"/>
</file>