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1600"/>
        <w:jc w:val="center"/>
      </w:pPr>
      <w:r>
        <w:rPr>
          <w:b/>
          <w:bCs/>
          <w:color w:val="C8A24B"/>
          <w:spacing w:val="60"/>
          <w:sz w:val="26"/>
          <w:szCs w:val="26"/>
        </w:rPr>
        <w:t xml:space="preserve">TEMPLATETITANHQ</w:t>
      </w:r>
    </w:p>
    <w:p>
      <w:pPr>
        <w:spacing w:after="0" w:before="600"/>
        <w:jc w:val="center"/>
      </w:pPr>
      <w:r>
        <w:rPr>
          <w:b/>
          <w:bCs/>
          <w:color w:val="1F3A5F"/>
          <w:sz w:val="72"/>
          <w:szCs w:val="72"/>
        </w:rPr>
        <w:t>CY2027 SOA &amp; CLIENT</w:t>
      </w:r>
    </w:p>
    <w:p>
      <w:pPr>
        <w:spacing w:after="0" w:before="0"/>
        <w:jc w:val="center"/>
      </w:pPr>
      <w:r>
        <w:rPr>
          <w:b/>
          <w:bCs/>
          <w:color w:val="1F3A5F"/>
          <w:sz w:val="72"/>
          <w:szCs w:val="72"/>
        </w:rPr>
        <w:t>DOCUMENTATION</w:t>
      </w:r>
    </w:p>
    <w:p>
      <w:pPr>
        <w:spacing w:after="0" w:before="0"/>
        <w:jc w:val="center"/>
      </w:pPr>
      <w:r>
        <w:rPr>
          <w:b/>
          <w:bCs/>
          <w:color w:val="1F3A5F"/>
          <w:sz w:val="72"/>
          <w:szCs w:val="72"/>
        </w:rPr>
        <w:t>PACK</w:t>
      </w:r>
    </w:p>
    <w:p>
      <w:pPr>
        <w:pBdr>
          <w:bottom w:val="single" w:color="C8A24B" w:sz="8" w:space="6"/>
        </w:pBdr>
        <w:spacing w:after="0" w:before="240"/>
        <w:jc w:val="center"/>
      </w:pPr>
      <w:r>
        <w:rPr>
          <w:i/>
          <w:iCs/>
          <w:color w:val="5A6B7B"/>
          <w:sz w:val="26"/>
          <w:szCs w:val="26"/>
        </w:rPr>
        <w:t>CY2027 transition reference · practical templates for more consistent client records</w:t>
      </w:r>
    </w:p>
    <w:p>
      <w:pPr>
        <w:spacing w:after="0" w:before="500"/>
        <w:jc w:val="center"/>
      </w:pPr>
      <w:r>
        <w:rPr>
          <w:b/>
          <w:bCs/>
          <w:color w:val="1F3A5F"/>
          <w:spacing w:val="40"/>
          <w:sz w:val="24"/>
          <w:szCs w:val="24"/>
        </w:rPr>
        <w:t xml:space="preserve">2027 AEP EDITION</w:t>
      </w:r>
    </w:p>
    <w:p>
      <w:pPr>
        <w:spacing w:after="0" w:before="2200"/>
        <w:jc w:val="center"/>
      </w:pPr>
      <w:r>
        <w:rPr>
          <w:color w:val="5A6B7B"/>
          <w:sz w:val="20"/>
          <w:szCs w:val="20"/>
        </w:rPr>
        <w:t>Practical Templates. Clearer Records. Consistent Workflows.</w:t>
      </w:r>
    </w:p>
    <w:p>
      <w:r>
        <w:br w:type="page"/>
      </w:r>
    </w:p>
    <w:p>
      <w:pPr>
        <w:pStyle w:val="Heading1"/>
      </w:pPr>
      <w:r>
        <w:t xml:space="preserve">Start Here</w:t>
      </w:r>
    </w:p>
    <w:p>
      <w:pPr>
        <w:spacing w:after="120"/>
      </w:pPr>
      <w:r>
        <w:rPr>
          <w:color w:val="222222"/>
          <w:sz w:val="22"/>
          <w:szCs w:val="22"/>
        </w:rPr>
        <w:t>Beginning October 1, 2026, CMS's CY2027 marketing policies (91 FR 17384; see 17455-17459) remove the federal 48-hour waiting period between SOA completion and a personal marketing appointment. The SOA itself remains required before every personal marketing appointment, and in-person SOAs must be in writing. Through September 30, 2026, the existing 48-hour standard and its current exceptions remain in place. Use this pack to organize the date, time, method, and sequence you document; always verify the current rule, carrier instructions, and FMO procedures before use.</w:t>
      </w:r>
    </w:p>
    <w:tbl>
      <w:tblPr>
        <w:tblW w:type="dxa" w:w="9360"/>
        <w:tblBorders>
          <w:top w:val="single" w:color="EEF2F6" w:sz="1"/>
          <w:left w:val="single" w:color="C8A24B" w:sz="18"/>
          <w:bottom w:val="single" w:color="EEF2F6" w:sz="1"/>
          <w:right w:val="single" w:color="EEF2F6" w:sz="1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EEF2F6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1F3A5F"/>
                <w:sz w:val="24"/>
                <w:szCs w:val="24"/>
              </w:rPr>
              <w:t>What this pack helps organize: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222222"/>
                <w:sz w:val="22"/>
                <w:szCs w:val="22"/>
              </w:rPr>
              <w:t>Consistent, dated records can make later questions easier to answer. This pack keeps appointment sequence, contact history, comparison notes, and internal file-review prompts in one workflow.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</w:pPr>
      <w:r>
        <w:t xml:space="preserve">What's inside</w:t>
      </w:r>
    </w:p>
    <w:p>
      <w:pPr>
        <w:pStyle w:val="ListParagraph"/>
        <w:numPr>
          <w:ilvl w:val="0"/>
          <w:numId w:val="2"/>
        </w:numPr>
        <w:spacing w:after="60"/>
      </w:pPr>
      <w:r>
        <w:t>Appointment Documentation Workflow — a suggested organizational sequence from first contact to file review, with a record to consider at each step.</w:t>
      </w:r>
    </w:p>
    <w:p>
      <w:pPr>
        <w:pStyle w:val="ListParagraph"/>
        <w:numPr>
          <w:ilvl w:val="0"/>
          <w:numId w:val="2"/>
        </w:numPr>
        <w:spacing w:after="60"/>
      </w:pPr>
      <w:r>
        <w:t>Disclosure-Delivery Checklist — a printable prompt for documenting whether key steps were completed.</w:t>
      </w:r>
    </w:p>
    <w:p>
      <w:pPr>
        <w:pStyle w:val="ListParagraph"/>
        <w:numPr>
          <w:ilvl w:val="0"/>
          <w:numId w:val="2"/>
        </w:numPr>
        <w:spacing w:after="60"/>
      </w:pPr>
      <w:r>
        <w:t>Call / Contact Record — a printable per-call record with fields for recording and retention notes.</w:t>
      </w:r>
    </w:p>
    <w:p>
      <w:pPr>
        <w:pStyle w:val="ListParagraph"/>
        <w:numPr>
          <w:ilvl w:val="0"/>
          <w:numId w:val="2"/>
        </w:numPr>
        <w:spacing w:after="60"/>
      </w:pPr>
      <w:r>
        <w:t>Documentation Risk-Review Checklist — ten recordkeeping habits to review with your carrier or FMO.</w:t>
      </w:r>
    </w:p>
    <w:p>
      <w:pPr>
        <w:pStyle w:val="ListParagraph"/>
        <w:numPr>
          <w:ilvl w:val="0"/>
          <w:numId w:val="2"/>
        </w:numPr>
        <w:spacing w:after="60"/>
      </w:pPr>
      <w:r>
        <w:t>Plan-Comparison Documentation Worksheet — fields for stated needs, options considered, selection factors, and an optional client acknowledgment.</w:t>
      </w:r>
    </w:p>
    <w:p>
      <w:pPr>
        <w:pStyle w:val="ListParagraph"/>
        <w:numPr>
          <w:ilvl w:val="0"/>
          <w:numId w:val="2"/>
        </w:numPr>
        <w:spacing w:after="60"/>
      </w:pPr>
      <w:r>
        <w:t>Companion spreadsheet (included in your download) — SOA and appointment log, call log, client-file review, and a date/time sequence screen keyed to October 1, 2026. Verify every result before relying on it.</w:t>
      </w:r>
    </w:p>
    <w:p>
      <w:pPr>
        <w:spacing w:after="120"/>
      </w:pPr>
      <w:r>
        <w:t xml:space="preserve"/>
      </w:r>
    </w:p>
    <w:p>
      <w:pPr>
        <w:pStyle w:val="Heading2"/>
      </w:pPr>
      <w:r>
        <w:t>How to set up and use it</w:t>
      </w:r>
    </w:p>
    <w:p>
      <w:pPr>
        <w:pStyle w:val="ListParagraph"/>
        <w:numPr>
          <w:ilvl w:val="0"/>
          <w:numId w:val="3"/>
        </w:numPr>
        <w:spacing w:after="60"/>
      </w:pPr>
      <w:r>
        <w:t>Designed for Microsoft Word. Other document editors may alter layout and are not independently certified.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Find-and-replace every [BRACKET] once — your name, agency, phone, email. Save as your master.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Print a stack of the Disclosure-Delivery Checklists and Call Records — or keep them digital and duplicate per client.</w:t>
      </w:r>
    </w:p>
    <w:p>
      <w:pPr>
        <w:pStyle w:val="ListParagraph"/>
        <w:numPr>
          <w:ilvl w:val="0"/>
          <w:numId w:val="3"/>
        </w:numPr>
        <w:spacing w:after="60"/>
      </w:pPr>
      <w:r>
        <w:t>Log activity in the companion spreadsheet and review each client's file for completeness.</w:t>
      </w:r>
    </w:p>
    <w:tbl>
      <w:tblPr>
        <w:tblW w:type="dxa" w:w="9360"/>
        <w:tblBorders>
          <w:top w:val="single" w:color="FBEAEA" w:sz="1"/>
          <w:left w:val="single" w:color="8A2A2A" w:sz="18"/>
          <w:bottom w:val="single" w:color="FBEAEA" w:sz="1"/>
          <w:right w:val="single" w:color="FBEAEA" w:sz="1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FBEAEA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8A2A2A"/>
                <w:sz w:val="22"/>
                <w:szCs w:val="22"/>
              </w:rPr>
              <w:t xml:space="preserve">Compliance note — read before relying on this pack.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8A2A2A"/>
                <w:sz w:val="20"/>
                <w:szCs w:val="20"/>
              </w:rPr>
              <w:t>These are documentation aids built from publicly available regulatory and industry-compliance sources as of July 2026 — they are NOT legal advice and NOT a substitute for CMS guidance, carrier rules, or your FMO's compliance program. Through September 30, 2026 the pre-existing rules (including the 48-hour SOA wait) remain in force; the CY2027 marketing-policy changes apply beginning October 1, 2026. Rules change — verify current requirements before each selling season.</w:t>
            </w:r>
          </w:p>
        </w:tc>
      </w:tr>
    </w:tbl>
    <w:p>
      <w:r>
        <w:br w:type="page"/>
      </w:r>
    </w:p>
    <w:p>
      <w:pPr>
        <w:pStyle w:val="Heading1"/>
      </w:pPr>
      <w:r>
        <w:t>Appointment Documentation Workflow</w:t>
      </w:r>
    </w:p>
    <w:p>
      <w:pPr>
        <w:spacing w:after="120"/>
      </w:pPr>
      <w:r>
        <w:rPr>
          <w:color w:val="222222"/>
          <w:sz w:val="22"/>
          <w:szCs w:val="22"/>
        </w:rPr>
        <w:t>Use this suggested sequence as an organizational starting point. Adapt it to current CMS, carrier, FMO, state, and agency requirements.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60"/>
        <w:gridCol w:w="4400"/>
        <w:gridCol w:w="3400"/>
      </w:tblGrid>
      <w:tr>
        <w:trPr>
          <w:tblHeader/>
        </w:trP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Step</w:t>
            </w:r>
          </w:p>
        </w:tc>
        <w:tc>
          <w:tcPr>
            <w:tcW w:type="dxa" w:w="4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What happens</w:t>
            </w:r>
          </w:p>
        </w:tc>
        <w:tc>
          <w:tcPr>
            <w:tcW w:type="dxa" w:w="3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The document it produces</w:t>
            </w:r>
          </w:p>
        </w:tc>
      </w:tr>
      <w:t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1. Contact</w:t>
            </w:r>
          </w:p>
        </w:tc>
        <w:tc>
          <w:tcPr>
            <w:tcW w:type="dxa" w:w="4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>If contact is permitted, record the contact source and the basis your organization uses to document contact permission.</w:t>
            </w:r>
          </w:p>
        </w:tc>
        <w:tc>
          <w:tcPr>
            <w:tcW w:type="dxa" w:w="3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Consent record + call log line</w:t>
            </w:r>
          </w:p>
        </w:tc>
      </w:tr>
      <w:t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2. Scope of Appointment</w:t>
            </w:r>
          </w:p>
        </w:tc>
        <w:tc>
          <w:tcPr>
            <w:tcW w:type="dxa" w:w="4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>Agree and record the SOA before the personal marketing appointment. Beginning Oct. 1, 2026, the federal 48-hour delay is removed; in-person SOAs must still be in writing and the sequence still matters.</w:t>
            </w:r>
          </w:p>
        </w:tc>
        <w:tc>
          <w:tcPr>
            <w:tcW w:type="dxa" w:w="3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SOA form + log row with date AND time</w:t>
            </w:r>
          </w:p>
        </w:tc>
      </w:tr>
      <w:t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3. TPMO disclaimer</w:t>
            </w:r>
          </w:p>
        </w:tc>
        <w:tc>
          <w:tcPr>
            <w:tcW w:type="dxa" w:w="4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>Document when any currently required disclaimer was delivered; verify the current wording and timing.</w:t>
            </w:r>
          </w:p>
        </w:tc>
        <w:tc>
          <w:tcPr>
            <w:tcW w:type="dxa" w:w="3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>Checklist line and timing note</w:t>
            </w:r>
          </w:p>
        </w:tc>
      </w:tr>
      <w:t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4. Needs assessment</w:t>
            </w:r>
          </w:p>
        </w:tc>
        <w:tc>
          <w:tcPr>
            <w:tcW w:type="dxa" w:w="4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Capture the client's doctors, drugs, pharmacy, budget, and priorities in writing before comparing plans.</w:t>
            </w:r>
          </w:p>
        </w:tc>
        <w:tc>
          <w:tcPr>
            <w:tcW w:type="dxa" w:w="3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Needs section of the comparison worksheet</w:t>
            </w:r>
          </w:p>
        </w:tc>
      </w:tr>
      <w:t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5. Compare &amp; recommend</w:t>
            </w:r>
          </w:p>
        </w:tc>
        <w:tc>
          <w:tcPr>
            <w:tcW w:type="dxa" w:w="4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>Compare candidate plans using the client's stated criteria and record the factors supporting the selection.</w:t>
            </w:r>
          </w:p>
        </w:tc>
        <w:tc>
          <w:tcPr>
            <w:tcW w:type="dxa" w:w="3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Plan-Comparison Documentation Worksheet</w:t>
            </w:r>
          </w:p>
        </w:tc>
      </w:tr>
      <w:t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6. Enroll</w:t>
            </w:r>
          </w:p>
        </w:tc>
        <w:tc>
          <w:tcPr>
            <w:tcW w:type="dxa" w:w="4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Complete enrollment with all carrier-required disclosures. Note anything the client DECLINED.</w:t>
            </w:r>
          </w:p>
        </w:tc>
        <w:tc>
          <w:tcPr>
            <w:tcW w:type="dxa" w:w="3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Enrollment confirmation + declined-coverage note</w:t>
            </w:r>
          </w:p>
        </w:tc>
      </w:tr>
      <w:t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7. Same-day recap</w:t>
            </w:r>
          </w:p>
        </w:tc>
        <w:tc>
          <w:tcPr>
            <w:tcW w:type="dxa" w:w="4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>If consistent with your approved workflow, save a short recap of what was set up and what happens next.</w:t>
            </w:r>
          </w:p>
        </w:tc>
        <w:tc>
          <w:tcPr>
            <w:tcW w:type="dxa" w:w="3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Copy saved to the client file</w:t>
            </w:r>
          </w:p>
        </w:tc>
      </w:tr>
      <w:t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8. Close the file</w:t>
            </w:r>
          </w:p>
        </w:tc>
        <w:tc>
          <w:tcPr>
            <w:tcW w:type="dxa" w:w="4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>Use the spreadsheet's Client File Review tab to check for blank or incomplete fields.</w:t>
            </w:r>
          </w:p>
        </w:tc>
        <w:tc>
          <w:tcPr>
            <w:tcW w:type="dxa" w:w="3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>Completed internal file-review checklist</w:t>
            </w:r>
          </w:p>
        </w:tc>
      </w:tr>
    </w:tbl>
    <w:p>
      <w:pPr>
        <w:spacing w:after="120"/>
      </w:pPr>
      <w:r>
        <w:t xml:space="preserve"/>
      </w:r>
    </w:p>
    <w:tbl>
      <w:tblPr>
        <w:tblW w:type="dxa" w:w="9360"/>
        <w:tblBorders>
          <w:top w:val="single" w:color="EEF2F6" w:sz="1"/>
          <w:left w:val="single" w:color="C8A24B" w:sz="18"/>
          <w:bottom w:val="single" w:color="EEF2F6" w:sz="1"/>
          <w:right w:val="single" w:color="EEF2F6" w:sz="1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EEF2F6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1F3A5F"/>
                <w:sz w:val="22"/>
                <w:szCs w:val="22"/>
              </w:rPr>
              <w:t>Working principle for October 1: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222222"/>
                <w:sz w:val="22"/>
                <w:szCs w:val="22"/>
              </w:rPr>
              <w:t>Removing the federal 48-hour delay does not remove the SOA or other current marketing requirements. Document the SOA before the appointment and follow all current CMS, carrier/FMO, state, and agency rules.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Disclosure-Delivery Checklist</w:t>
      </w:r>
    </w:p>
    <w:p>
      <w:pPr>
        <w:spacing w:after="120"/>
      </w:pPr>
      <w:r>
        <w:rPr>
          <w:i/>
          <w:iCs/>
          <w:color w:val="5A6B7B"/>
          <w:sz w:val="20"/>
          <w:szCs w:val="20"/>
        </w:rPr>
        <w:t>One per appointment. Print or duplicate digitally. This is an internal documentation prompt, not a government form or a complete requirements list.</w:t>
      </w:r>
    </w:p>
    <w:p>
      <w:pPr>
        <w:spacing w:after="60"/>
      </w:pPr>
      <w:r>
        <w:t xml:space="preserve"/>
      </w:r>
    </w:p>
    <w:p>
      <w:pPr>
        <w:spacing w:after="120"/>
      </w:pPr>
      <w:r>
        <w:rPr>
          <w:b/>
          <w:bCs/>
          <w:color w:val="222222"/>
          <w:sz w:val="22"/>
          <w:szCs w:val="22"/>
        </w:rPr>
        <w:t xml:space="preserve">Client: ______________________________    Date: ____________    Appt time: ____________</w:t>
      </w:r>
    </w:p>
    <w:p>
      <w:pPr>
        <w:spacing w:after="60"/>
      </w:pPr>
      <w:r>
        <w:t xml:space="preserve"/>
      </w:r>
    </w:p>
    <w:p>
      <w:pPr>
        <w:pStyle w:val="Heading2"/>
      </w:pPr>
      <w:r>
        <w:t xml:space="preserve">Before the appointment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6960"/>
        <w:gridCol w:w="1700"/>
      </w:tblGrid>
      <w:tr>
        <w:trPr>
          <w:tblHeader/>
        </w:trPr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✓</w:t>
            </w:r>
          </w:p>
        </w:tc>
        <w:tc>
          <w:tcPr>
            <w:tcW w:type="dxa" w:w="6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Item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Noted</w:t>
            </w:r>
          </w:p>
        </w:tc>
      </w:tr>
      <w:tr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 ]</w:t>
            </w:r>
          </w:p>
        </w:tc>
        <w:tc>
          <w:tcPr>
            <w:tcW w:type="dxa" w:w="6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>SOA agreed and recorded before the appointment — date and time captured. Through Sep. 30, 2026, verify the existing 48-hour standard and any applicable current exception. Beginning Oct. 1, 2026, the federal delay is removed, but the SOA must still precede the appointment.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time: ______</w:t>
            </w:r>
          </w:p>
        </w:tc>
      </w:tr>
      <w:tr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 ]</w:t>
            </w:r>
          </w:p>
        </w:tc>
        <w:tc>
          <w:tcPr>
            <w:tcW w:type="dxa" w:w="6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SOA scope covers every product type you plan to present (expanding scope mid-meeting = document a new SOA first)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initials: ____</w:t>
            </w:r>
          </w:p>
        </w:tc>
      </w:tr>
      <w:tr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 ]</w:t>
            </w:r>
          </w:p>
        </w:tc>
        <w:tc>
          <w:tcPr>
            <w:tcW w:type="dxa" w:w="6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>Current required disclaimer delivery documented using CMS-, carrier-, and FMO-approved wording and timing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initials: ____</w:t>
            </w:r>
          </w:p>
        </w:tc>
      </w:tr>
      <w:tr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 ]</w:t>
            </w:r>
          </w:p>
        </w:tc>
        <w:tc>
          <w:tcPr>
            <w:tcW w:type="dxa" w:w="6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>If an educational and marketing event occur at the same location: document the transition and verify the current CMS, carrier, and FMO requirements before proceeding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time: ______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</w:pPr>
      <w:r>
        <w:t xml:space="preserve">During the appointment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6960"/>
        <w:gridCol w:w="1700"/>
      </w:tblGrid>
      <w:tr>
        <w:trPr>
          <w:tblHeader/>
        </w:trPr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✓</w:t>
            </w:r>
          </w:p>
        </w:tc>
        <w:tc>
          <w:tcPr>
            <w:tcW w:type="dxa" w:w="6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Item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Noted</w:t>
            </w:r>
          </w:p>
        </w:tc>
      </w:tr>
      <w:tr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 ]</w:t>
            </w:r>
          </w:p>
        </w:tc>
        <w:tc>
          <w:tcPr>
            <w:tcW w:type="dxa" w:w="6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Only products within the recorded SOA scope discussed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initials: ____</w:t>
            </w:r>
          </w:p>
        </w:tc>
      </w:tr>
      <w:tr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 ]</w:t>
            </w:r>
          </w:p>
        </w:tc>
        <w:tc>
          <w:tcPr>
            <w:tcW w:type="dxa" w:w="6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Needs assessment completed in writing — doctors, drugs, pharmacy, budget, priorities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initials: ____</w:t>
            </w:r>
          </w:p>
        </w:tc>
      </w:tr>
      <w:tr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 ]</w:t>
            </w:r>
          </w:p>
        </w:tc>
        <w:tc>
          <w:tcPr>
            <w:tcW w:type="dxa" w:w="6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Provider and formulary lookups run and date-stamped ('in-network as of today's check — networks can change')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date: ______</w:t>
            </w:r>
          </w:p>
        </w:tc>
      </w:tr>
      <w:tr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 ]</w:t>
            </w:r>
          </w:p>
        </w:tc>
        <w:tc>
          <w:tcPr>
            <w:tcW w:type="dxa" w:w="6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Plan comparison documented on the worksheet — including why the recommended plan won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initials: ____</w:t>
            </w:r>
          </w:p>
        </w:tc>
      </w:tr>
      <w:tr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 ]</w:t>
            </w:r>
          </w:p>
        </w:tc>
        <w:tc>
          <w:tcPr>
            <w:tcW w:type="dxa" w:w="6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No guarantees, no absolute claims — accuracy rules still fully apply after the rollbacks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initials: ____</w:t>
            </w:r>
          </w:p>
        </w:tc>
      </w:tr>
      <w:tr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 ]</w:t>
            </w:r>
          </w:p>
        </w:tc>
        <w:tc>
          <w:tcPr>
            <w:tcW w:type="dxa" w:w="6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All carrier-required enrollment disclosures provided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initials: ____</w:t>
            </w:r>
          </w:p>
        </w:tc>
      </w:tr>
      <w:tr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 ]</w:t>
            </w:r>
          </w:p>
        </w:tc>
        <w:tc>
          <w:tcPr>
            <w:tcW w:type="dxa" w:w="6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Anything the client DECLINED noted in writing (drug coverage, ancillary products, spousal review…)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initials: ____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</w:pPr>
      <w:r>
        <w:t xml:space="preserve">After the appointment (same day)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6960"/>
        <w:gridCol w:w="1700"/>
      </w:tblGrid>
      <w:tr>
        <w:trPr>
          <w:tblHeader/>
        </w:trPr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✓</w:t>
            </w:r>
          </w:p>
        </w:tc>
        <w:tc>
          <w:tcPr>
            <w:tcW w:type="dxa" w:w="6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Item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Noted</w:t>
            </w:r>
          </w:p>
        </w:tc>
      </w:tr>
      <w:tr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 ]</w:t>
            </w:r>
          </w:p>
        </w:tc>
        <w:tc>
          <w:tcPr>
            <w:tcW w:type="dxa" w:w="6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Enrollment confirmation number / receipt saved to the client file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ref: ______</w:t>
            </w:r>
          </w:p>
        </w:tc>
      </w:tr>
      <w:tr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 ]</w:t>
            </w:r>
          </w:p>
        </w:tc>
        <w:tc>
          <w:tcPr>
            <w:tcW w:type="dxa" w:w="6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Recap message sent (what we set up, what happens next, call me first)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time: ______</w:t>
            </w:r>
          </w:p>
        </w:tc>
      </w:tr>
      <w:tr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 ]</w:t>
            </w:r>
          </w:p>
        </w:tc>
        <w:tc>
          <w:tcPr>
            <w:tcW w:type="dxa" w:w="6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Call log + SOA log rows completed in the companion spreadsheet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initials: ____</w:t>
            </w:r>
          </w:p>
        </w:tc>
      </w:tr>
      <w:tr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 ]</w:t>
            </w:r>
          </w:p>
        </w:tc>
        <w:tc>
          <w:tcPr>
            <w:tcW w:type="dxa" w:w="6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>Client File Review row checked for missing information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initials: ____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Call / Contact Record</w:t>
      </w:r>
    </w:p>
    <w:p>
      <w:pPr>
        <w:spacing w:after="120"/>
      </w:pPr>
      <w:r>
        <w:rPr>
          <w:i/>
          <w:iCs/>
          <w:color w:val="5A6B7B"/>
          <w:sz w:val="20"/>
          <w:szCs w:val="20"/>
        </w:rPr>
        <w:t>A printable per-call record that can be transferred to the companion spreadsheet's Call Log for an organized master record.</w:t>
      </w:r>
    </w:p>
    <w:p>
      <w:pPr>
        <w:spacing w:after="60"/>
      </w:pPr>
      <w:r>
        <w:t xml:space="preserve"/>
      </w:r>
    </w:p>
    <w:tbl>
      <w:tblPr>
        <w:tblW w:type="dxa" w:w="9360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1F3A5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CALL / CONTACT RECORD</w:t>
            </w:r>
          </w:p>
        </w:tc>
      </w:tr>
      <w:tr>
        <w:tc>
          <w:tcPr>
            <w:tcW w:type="dxa" w:w="9360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Date: ____________    Time: ____________    Duration: ____________</w:t>
            </w:r>
          </w:p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Client / prospect: ____________________________________   Phone: ______________________</w:t>
            </w:r>
          </w:p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Call type (circle one):   Marketing / sales (recorded)   ·   Enrollment portion (recorded)   ·   Service — existing client   ·   Follow-up / appointment setting</w:t>
            </w:r>
          </w:p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Consent basis for outbound contact: ______________________________________________</w:t>
            </w:r>
          </w:p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Recorded?  [ ] Yes  [ ] No      Recording file ref: ______________________________________</w:t>
            </w:r>
          </w:p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TPMO disclaimer delivered before benefits discussed?  [ ] Yes  [ ] N/A (no benefits discussed)</w:t>
            </w:r>
          </w:p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Summary / disposition: ________________________________________________________________</w:t>
            </w:r>
          </w:p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______________________________________________________________________________________</w:t>
            </w:r>
          </w:p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Action items / follow-up promised: ______________________________________________________</w:t>
            </w:r>
          </w:p>
          <w:p>
            <w:pPr>
              <w:spacing w:after="0"/>
            </w:pPr>
            <w:r>
              <w:rPr>
                <w:color w:val="222222"/>
                <w:sz w:val="22"/>
                <w:szCs w:val="22"/>
              </w:rPr>
              <w:t>Retention note: beginning Oct. 1, 2026 for CY2027 marketing, CMS requires marketing/sales call records for at least 6 years—audio for years 1-3, then audio or a complete and accurate transcript for years 4-6. Enrollment records remain subject to separate retention requirements. Verify how mixed-content calls, SOAs, carrier systems, and state rules apply to your records.</w:t>
            </w:r>
          </w:p>
        </w:tc>
      </w:tr>
    </w:tbl>
    <w:p>
      <w:pPr>
        <w:spacing w:after="120"/>
      </w:pPr>
      <w:r>
        <w:t xml:space="preserve"/>
      </w:r>
    </w:p>
    <w:tbl>
      <w:tblPr>
        <w:tblW w:type="dxa" w:w="9360"/>
        <w:tblBorders>
          <w:top w:val="single" w:color="EEF2F6" w:sz="1"/>
          <w:left w:val="single" w:color="C8A24B" w:sz="18"/>
          <w:bottom w:val="single" w:color="EEF2F6" w:sz="1"/>
          <w:right w:val="single" w:color="EEF2F6" w:sz="1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EEF2F6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1F3A5F"/>
                <w:sz w:val="22"/>
                <w:szCs w:val="22"/>
              </w:rPr>
              <w:t xml:space="preserve">Why log service calls too: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222222"/>
                <w:sz w:val="22"/>
                <w:szCs w:val="22"/>
              </w:rPr>
              <w:t>A dated service-call note can help reconstruct what was reported, what information was shared, and what follow-up was promised. Protect beneficiary information and follow your agency's approved system.</w:t>
            </w:r>
          </w:p>
        </w:tc>
      </w:tr>
    </w:tbl>
    <w:p>
      <w:r>
        <w:br w:type="page"/>
      </w:r>
    </w:p>
    <w:p>
      <w:pPr>
        <w:pStyle w:val="Heading1"/>
      </w:pPr>
      <w:r>
        <w:t>Documentation Risk-Review Checklist</w:t>
      </w:r>
    </w:p>
    <w:p>
      <w:pPr>
        <w:spacing w:after="120"/>
      </w:pPr>
      <w:r>
        <w:rPr>
          <w:i/>
          <w:iCs/>
          <w:color w:val="5A6B7B"/>
          <w:sz w:val="20"/>
          <w:szCs w:val="20"/>
        </w:rPr>
        <w:t>Ten documentation habits to review with your carrier, FMO, or compliance lead. They are organizational prompts, not a guarantee, safe harbor, or complete requirements list.</w:t>
      </w:r>
    </w:p>
    <w:p>
      <w:pPr>
        <w:spacing w:after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3600"/>
        <w:gridCol w:w="5200"/>
      </w:tblGrid>
      <w:tr>
        <w:trPr>
          <w:tblHeader/>
        </w:trPr>
        <w:tc>
          <w:tcPr>
            <w:tcW w:type="dxa" w:w="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Habit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>Why it may help</w:t>
            </w:r>
          </w:p>
        </w:tc>
      </w:tr>
      <w:tr>
        <w:tc>
          <w:tcPr>
            <w:tcW w:type="dxa" w:w="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SOA before plan talk, every time — with date AND time logged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>Helps document whether the SOA preceded the appointment.</w:t>
            </w:r>
          </w:p>
        </w:tc>
      </w:tr>
      <w:tr>
        <w:tc>
          <w:tcPr>
            <w:tcW w:type="dxa" w:w="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2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Needs assessment in writing before comparing plans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>Records the client's stated needs at the time of comparison.</w:t>
            </w:r>
          </w:p>
        </w:tc>
      </w:tr>
      <w:tr>
        <w:tc>
          <w:tcPr>
            <w:tcW w:type="dxa" w:w="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3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Run and date-stamp provider / formulary lookups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>Creates a dated record of what was checked; networks and formularies can change.</w:t>
            </w:r>
          </w:p>
        </w:tc>
      </w:tr>
      <w:tr>
        <w:tc>
          <w:tcPr>
            <w:tcW w:type="dxa" w:w="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4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>Document the comparison — options, client criteria, and selection factors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>Records which options and selection factors were considered.</w:t>
            </w:r>
          </w:p>
        </w:tc>
      </w:tr>
      <w:tr>
        <w:tc>
          <w:tcPr>
            <w:tcW w:type="dxa" w:w="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5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Write down DECLINED coverage, dated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>Creates a contemporaneous note of what the client chose not to add or discuss.</w:t>
            </w:r>
          </w:p>
        </w:tc>
      </w:tr>
      <w:tr>
        <w:tc>
          <w:tcPr>
            <w:tcW w:type="dxa" w:w="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6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Never guarantee networks or benefits — qualify and date every check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>Networks and formularies can change. Dated, qualified notes reduce misunderstanding.</w:t>
            </w:r>
          </w:p>
        </w:tc>
      </w:tr>
      <w:tr>
        <w:tc>
          <w:tcPr>
            <w:tcW w:type="dxa" w:w="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7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Send a same-day recap message and save a copy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>Creates a contemporaneous follow-up record.</w:t>
            </w:r>
          </w:p>
        </w:tc>
      </w:tr>
      <w:tr>
        <w:tc>
          <w:tcPr>
            <w:tcW w:type="dxa" w:w="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8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Log every beneficiary contact with its retention bucket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>Helps organize records under the current retention rules that apply to each record type.</w:t>
            </w:r>
          </w:p>
        </w:tc>
      </w:tr>
      <w:tr>
        <w:tc>
          <w:tcPr>
            <w:tcW w:type="dxa" w:w="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9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Make disclaimer delivery provable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>Prompts a dated record of disclaimer delivery when currently required.</w:t>
            </w:r>
          </w:p>
        </w:tc>
      </w:tr>
      <w:tr>
        <w:tc>
          <w:tcPr>
            <w:tcW w:type="dxa" w:w="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10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>One client, one organized file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>An internal review tab flags blank or incomplete fields for follow-up.</w:t>
            </w:r>
          </w:p>
        </w:tc>
      </w:tr>
    </w:tbl>
    <w:p>
      <w:pPr>
        <w:spacing w:after="120"/>
      </w:pPr>
      <w:r>
        <w:t xml:space="preserve"/>
      </w:r>
    </w:p>
    <w:tbl>
      <w:tblPr>
        <w:tblW w:type="dxa" w:w="9360"/>
        <w:tblBorders>
          <w:top w:val="single" w:color="FBEAEA" w:sz="1"/>
          <w:left w:val="single" w:color="8A2A2A" w:sz="18"/>
          <w:bottom w:val="single" w:color="FBEAEA" w:sz="1"/>
          <w:right w:val="single" w:color="FBEAEA" w:sz="1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FBEAEA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8A2A2A"/>
                <w:sz w:val="22"/>
                <w:szCs w:val="22"/>
              </w:rPr>
              <w:t xml:space="preserve">Reality check: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8A2A2A"/>
                <w:sz w:val="20"/>
                <w:szCs w:val="20"/>
              </w:rPr>
              <w:t>Documentation supports internal quality control and can help answer later questions. These suggested practices are not a government-mandated checklist and do not replace current CMS, carrier, FMO, state, agency, legal, privacy, or E&amp;O requirements.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Plan-Comparison Documentation Worksheet</w:t>
      </w:r>
    </w:p>
    <w:p>
      <w:pPr>
        <w:spacing w:after="120"/>
      </w:pPr>
      <w:r>
        <w:rPr>
          <w:i/>
          <w:iCs/>
          <w:color w:val="5A6B7B"/>
          <w:sz w:val="20"/>
          <w:szCs w:val="20"/>
        </w:rPr>
        <w:t>One per client decision. Fill it during the appointment to create a contemporaneous record of the client's stated needs, options reviewed, and selection factors.</w:t>
      </w:r>
    </w:p>
    <w:p>
      <w:pPr>
        <w:spacing w:after="60"/>
      </w:pPr>
      <w:r>
        <w:t xml:space="preserve"/>
      </w:r>
    </w:p>
    <w:p>
      <w:pPr>
        <w:spacing w:after="120"/>
      </w:pPr>
      <w:r>
        <w:rPr>
          <w:b/>
          <w:bCs/>
          <w:color w:val="222222"/>
          <w:sz w:val="22"/>
          <w:szCs w:val="22"/>
        </w:rPr>
        <w:t xml:space="preserve">Client: ______________________________    Date: ____________    Prepared by: ______________________</w:t>
      </w:r>
    </w:p>
    <w:p>
      <w:pPr>
        <w:spacing w:after="60"/>
      </w:pPr>
      <w:r>
        <w:t xml:space="preserve"/>
      </w:r>
    </w:p>
    <w:p>
      <w:pPr>
        <w:pStyle w:val="Heading2"/>
      </w:pPr>
      <w:r>
        <w:t xml:space="preserve">The client's stated needs (fill this FIRST)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160"/>
      </w:tblGrid>
      <w:tr>
        <w:trPr>
          <w:tblHeader/>
        </w:trPr>
        <w:tc>
          <w:tcPr>
            <w:tcW w:type="dxa" w:w="4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Need</w:t>
            </w:r>
          </w:p>
        </w:tc>
        <w:tc>
          <w:tcPr>
            <w:tcW w:type="dxa" w:w="5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Client's answer</w:t>
            </w:r>
          </w:p>
        </w:tc>
      </w:tr>
      <w:tr>
        <w:tc>
          <w:tcPr>
            <w:tcW w:type="dxa" w:w="4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Doctors that must stay in network</w:t>
            </w:r>
          </w:p>
        </w:tc>
        <w:tc>
          <w:tcPr>
            <w:tcW w:type="dxa" w:w="5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_________________________________________________</w:t>
            </w:r>
          </w:p>
        </w:tc>
      </w:tr>
      <w:tr>
        <w:tc>
          <w:tcPr>
            <w:tcW w:type="dxa" w:w="4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Prescriptions (drug + dosage)</w:t>
            </w:r>
          </w:p>
        </w:tc>
        <w:tc>
          <w:tcPr>
            <w:tcW w:type="dxa" w:w="5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_________________________________________________</w:t>
            </w:r>
          </w:p>
        </w:tc>
      </w:tr>
      <w:tr>
        <w:tc>
          <w:tcPr>
            <w:tcW w:type="dxa" w:w="4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Preferred pharmacy</w:t>
            </w:r>
          </w:p>
        </w:tc>
        <w:tc>
          <w:tcPr>
            <w:tcW w:type="dxa" w:w="5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_________________________________________________</w:t>
            </w:r>
          </w:p>
        </w:tc>
      </w:tr>
      <w:tr>
        <w:tc>
          <w:tcPr>
            <w:tcW w:type="dxa" w:w="4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Monthly budget comfort zone</w:t>
            </w:r>
          </w:p>
        </w:tc>
        <w:tc>
          <w:tcPr>
            <w:tcW w:type="dxa" w:w="5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_________________________________________________</w:t>
            </w:r>
          </w:p>
        </w:tc>
      </w:tr>
      <w:tr>
        <w:tc>
          <w:tcPr>
            <w:tcW w:type="dxa" w:w="4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Priorities (circle): premium · copays · network · drug coverage · extra benefits · travel</w:t>
            </w:r>
          </w:p>
        </w:tc>
        <w:tc>
          <w:tcPr>
            <w:tcW w:type="dxa" w:w="5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_________________________________________________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</w:pPr>
      <w:r>
        <w:t xml:space="preserve">Plans compared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60"/>
        <w:gridCol w:w="2066"/>
        <w:gridCol w:w="2066"/>
        <w:gridCol w:w="2068"/>
      </w:tblGrid>
      <w:tr>
        <w:trPr>
          <w:tblHeader/>
        </w:trPr>
        <w:tc>
          <w:tcPr>
            <w:tcW w:type="dxa" w:w="3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Field</w:t>
            </w:r>
          </w:p>
        </w:tc>
        <w:tc>
          <w:tcPr>
            <w:tcW w:type="dxa" w:w="2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Plan A</w:t>
            </w:r>
          </w:p>
        </w:tc>
        <w:tc>
          <w:tcPr>
            <w:tcW w:type="dxa" w:w="2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Plan B</w:t>
            </w:r>
          </w:p>
        </w:tc>
        <w:tc>
          <w:tcPr>
            <w:tcW w:type="dxa" w:w="206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Plan C</w:t>
            </w:r>
          </w:p>
        </w:tc>
      </w:tr>
      <w:tr>
        <w:tc>
          <w:tcPr>
            <w:tcW w:type="dxa" w:w="3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Plan name / ID</w:t>
            </w:r>
          </w:p>
        </w:tc>
        <w:tc>
          <w:tcPr>
            <w:tcW w:type="dxa" w:w="2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6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Type (MA / MAPD / PDP / Med Supp)</w:t>
            </w:r>
          </w:p>
        </w:tc>
        <w:tc>
          <w:tcPr>
            <w:tcW w:type="dxa" w:w="2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6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Monthly premium</w:t>
            </w:r>
          </w:p>
        </w:tc>
        <w:tc>
          <w:tcPr>
            <w:tcW w:type="dxa" w:w="2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6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Deductible(s)</w:t>
            </w:r>
          </w:p>
        </w:tc>
        <w:tc>
          <w:tcPr>
            <w:tcW w:type="dxa" w:w="2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6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Max out-of-pocket</w:t>
            </w:r>
          </w:p>
        </w:tc>
        <w:tc>
          <w:tcPr>
            <w:tcW w:type="dxa" w:w="2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6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PCP / specialist copays</w:t>
            </w:r>
          </w:p>
        </w:tc>
        <w:tc>
          <w:tcPr>
            <w:tcW w:type="dxa" w:w="2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6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Client's drugs on formulary? (checked + date)</w:t>
            </w:r>
          </w:p>
        </w:tc>
        <w:tc>
          <w:tcPr>
            <w:tcW w:type="dxa" w:w="2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6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Client's doctors in network? (checked + date)</w:t>
            </w:r>
          </w:p>
        </w:tc>
        <w:tc>
          <w:tcPr>
            <w:tcW w:type="dxa" w:w="2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6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Preferred pharmacy status</w:t>
            </w:r>
          </w:p>
        </w:tc>
        <w:tc>
          <w:tcPr>
            <w:tcW w:type="dxa" w:w="2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6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Extra benefits relevant to THIS client</w:t>
            </w:r>
          </w:p>
        </w:tc>
        <w:tc>
          <w:tcPr>
            <w:tcW w:type="dxa" w:w="2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6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Star rating</w:t>
            </w:r>
          </w:p>
        </w:tc>
        <w:tc>
          <w:tcPr>
            <w:tcW w:type="dxa" w:w="2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6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t xml:space="preserve"/>
      </w:r>
    </w:p>
    <w:tbl>
      <w:tblPr>
        <w:tblW w:type="dxa" w:w="9360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1F3A5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RECOMMENDATION RATIONALE (write it in the room)</w:t>
            </w:r>
          </w:p>
        </w:tc>
      </w:tr>
      <w:tr>
        <w:tc>
          <w:tcPr>
            <w:tcW w:type="dxa" w:w="9360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Recommended plan: ________________________________________</w:t>
            </w:r>
          </w:p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>Factors supporting the selection based on the client's stated needs: ______________________________________________</w:t>
            </w:r>
          </w:p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______________________________________________________________________________________</w:t>
            </w:r>
          </w:p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>Factors considered for the other options: ______________________________________________________________</w:t>
            </w:r>
          </w:p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Anything the client declined (coverage type + short reason): _____________________________</w:t>
            </w:r>
          </w:p>
          <w:p>
            <w:pPr>
              <w:spacing w:after="0"/>
            </w:pPr>
            <w:r>
              <w:rPr>
                <w:color w:val="222222"/>
                <w:sz w:val="22"/>
                <w:szCs w:val="22"/>
              </w:rPr>
              <w:t xml:space="preserve">______________________________________________________________________________________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</w:pPr>
      <w:r>
        <w:t xml:space="preserve">Client acknowledgment (optional documentation aid)</w:t>
      </w:r>
    </w:p>
    <w:p>
      <w:pPr>
        <w:spacing w:after="120"/>
      </w:pPr>
      <w:r>
        <w:rPr>
          <w:i/>
          <w:iCs/>
          <w:color w:val="5A6B7B"/>
          <w:sz w:val="18"/>
          <w:szCs w:val="18"/>
        </w:rPr>
        <w:t xml:space="preserve">Some agencies and FMOs use an acknowledgment like this; others have their own required version — check yours first and use theirs if one exists.</w:t>
      </w:r>
    </w:p>
    <w:tbl>
      <w:tblPr>
        <w:tblW w:type="dxa" w:w="9360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1F3A5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ACKNOWLEDGMENT</w:t>
            </w:r>
          </w:p>
        </w:tc>
      </w:tr>
      <w:tr>
        <w:tc>
          <w:tcPr>
            <w:tcW w:type="dxa" w:w="9360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My agent reviewed [number] plan options with me and compared them using the needs I described (my doctors, prescriptions, pharmacy, and budget). My questions were answered, and I understand which plan I selected and why. I understand plan networks and drug formularies can change during the year, and that I can call my agent first with any question about my coverage.</w:t>
            </w:r>
          </w:p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/>
            </w:r>
          </w:p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Client signature: ______________________________    Date: ____________</w:t>
            </w:r>
          </w:p>
          <w:p>
            <w:pPr>
              <w:spacing w:after="0"/>
            </w:pPr>
            <w:r>
              <w:rPr>
                <w:color w:val="222222"/>
                <w:sz w:val="22"/>
                <w:szCs w:val="22"/>
              </w:rPr>
              <w:t xml:space="preserve">Agent signature:  ______________________________    Date: ____________</w:t>
            </w:r>
          </w:p>
        </w:tc>
      </w:tr>
    </w:tbl>
    <w:p>
      <w:pPr>
        <w:spacing w:after="120"/>
      </w:pPr>
      <w:r>
        <w:t xml:space="preserve"/>
      </w:r>
    </w:p>
    <w:p>
      <w:pPr>
        <w:spacing w:after="120"/>
      </w:pPr>
      <w:r>
        <w:rPr>
          <w:i/>
          <w:iCs/>
          <w:color w:val="5A6B7B"/>
          <w:sz w:val="18"/>
          <w:szCs w:val="18"/>
        </w:rPr>
        <w:t xml:space="preserve">Not legal advice. Documentation aid only — verify current CMS, carrier, and FMO requirements. © TemplateTitanHQ — licensed for the purchasing agent's business use; not for resale or redistribution.</w:t>
      </w:r>
    </w:p>
    <w:sectPr>
      <w:footerReference w:type="default" r:id="rId7"/>
      <w:headerReference w:type="default" r:id="rId9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6"/>
      </w:pBdr>
      <w:jc w:val="center"/>
    </w:pPr>
    <w:r>
      <w:rPr>
        <w:color w:val="5A6B7B"/>
        <w:sz w:val="16"/>
        <w:szCs w:val="16"/>
      </w:rPr>
      <w:t xml:space="preserve">CY2027 SOA &amp; Client Documentation Pack  ·  TemplateTitanHQ  ·  Page </w:t>
    </w:r>
    <w:r>
      <w:rPr>
        <w:color w:val="5A6B7B"/>
        <w:sz w:val="16"/>
        <w:szCs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C8A24B" w:sz="6" w:space="4"/>
      </w:pBdr>
      <w:spacing w:after="160" w:before="120"/>
      <w:outlineLvl w:val="0"/>
    </w:pPr>
    <w:rPr>
      <w:rFonts w:ascii="Calibri" w:cs="Calibri" w:eastAsia="Calibri" w:hAnsi="Calibri"/>
      <w:b/>
      <w:bCs/>
      <w:color w:val="1F3A5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00" w:before="200"/>
      <w:outlineLvl w:val="1"/>
    </w:pPr>
    <w:rPr>
      <w:rFonts w:ascii="Calibri" w:cs="Calibri" w:eastAsia="Calibri" w:hAnsi="Calibri"/>
      <w:b/>
      <w:bCs/>
      <w:color w:val="1F3A5F"/>
      <w:sz w:val="26"/>
      <w:szCs w:val="2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header" Target="head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CY2027 SOA &amp; Client Documentation Pack</dc:title>
  <dc:creator>TemplateTitanHQ</dc:creator>
  <dc:description>Claims-safe revision prepared 2026-07-27; verify current CMS, carrier, FMO, state, and agency rules.</dc:description>
  <cp:lastModifiedBy>Un-named</cp:lastModifiedBy>
  <cp:revision>1</cp:revision>
  <dcterms:created xsi:type="dcterms:W3CDTF">2026-07-10T03:26:49.239Z</dcterms:created>
  <dcterms:modified xsi:type="dcterms:W3CDTF">2026-07-10T03:26:49.240Z</dcterms:modified>
  <dc:subject>Record-organization templates with verified CY2027 transition boundaries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